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727FE8" w:rsidRDefault="00727FE8">
      <w:pPr>
        <w:rPr>
          <w:rtl/>
        </w:rPr>
      </w:pPr>
    </w:p>
    <w:p w:rsidR="00727F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7314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7314" inset="0,0,0,0">
              <w:txbxContent>
                <w:p w:rsidR="006915A7" w:rsidRDefault="006915A7">
                  <w:r>
                    <w:rPr>
                      <w:rtl/>
                    </w:rPr>
                    <w:t>264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15" o:spid="_x0000_s1026" type="#_x0000_t202" style="position:absolute;left:0;text-align:left;margin-left:88.9pt;margin-top:668.9pt;width:382.35pt;height:72.45pt;z-index:3;mso-position-horizontal-relative:page;mso-position-vertical-relative:page" stroked="f">
            <v:textbox style="mso-next-textbox:#_x0000_s47315" inset="0,0,0,0">
              <w:txbxContent>
                <w:p w:rsidR="006915A7" w:rsidRDefault="006915A7">
                  <w:pPr>
                    <w:pStyle w:val="OCRStyle1"/>
                    <w:ind w:left="8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י"ז באב התשנ"ד (25 ביולי 1994); הצעת החוק ודברי הסבר פורסמו בהצעות חוק 2188, מיום</w:t>
                  </w:r>
                </w:p>
                <w:p w:rsidR="006915A7" w:rsidRDefault="006915A7">
                  <w:pPr>
                    <w:pStyle w:val="OCRStyle1"/>
                    <w:ind w:left="288"/>
                    <w:rPr>
                      <w:rtl/>
                    </w:rPr>
                  </w:pPr>
                  <w:r>
                    <w:rPr>
                      <w:rtl/>
                    </w:rPr>
                    <w:t>ט' בתמוז התשנ"ג (28 ביוני 1995), עמ' 200.</w:t>
                  </w:r>
                </w:p>
                <w:p w:rsidR="006915A7" w:rsidRPr="00727FE8" w:rsidRDefault="006915A7">
                  <w:pPr>
                    <w:pStyle w:val="OCRStyle1"/>
                    <w:ind w:left="97"/>
                  </w:pPr>
                  <w:r>
                    <w:rPr>
                      <w:rtl/>
                    </w:rPr>
                    <w:t>י ס"ח התשמ'ו, עמ' 187; ת"ט התשמ''ז, עמ' 14.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16" o:spid="_x0000_s1027" type="#_x0000_t202" style="position:absolute;left:0;text-align:left;margin-left:88.9pt;margin-top:456.45pt;width:460.55pt;height:205.7pt;z-index:2;mso-position-horizontal-relative:page;mso-position-vertical-relative:page" stroked="f">
            <v:textbox style="mso-next-textbox:#_x0000_s47316" inset="0,0,0,0">
              <w:txbxContent>
                <w:tbl>
                  <w:tblPr>
                    <w:tblW w:w="4436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5996"/>
                    <w:gridCol w:w="1012"/>
                    <w:gridCol w:w="1369"/>
                  </w:tblGrid>
                  <w:tr w:rsidR="006915A7" w:rsidRPr="00727FE8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6915A7" w:rsidRDefault="006915A7">
                        <w:pPr>
                          <w:pStyle w:val="OCRStyle1"/>
                          <w:rPr>
                            <w:sz w:val="22"/>
                            <w:szCs w:val="22"/>
                            <w:rtl/>
                          </w:rPr>
                        </w:pPr>
                        <w:r>
                          <w:rPr>
                            <w:sz w:val="22"/>
                            <w:szCs w:val="22"/>
                            <w:rtl/>
                          </w:rPr>
                          <w:t>1. בסעיף 5(ג) לחוק כרטיסי חיוב, התשמ"ו-986 ו י (להלן - החוק העיקרי), בפסקה (ו), בסופה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יבוא; "יום ההודעה לא ייכלל במנין הימים, אם נמסרה באותו יום שבו נודע ללקוח על האובדן</w:t>
                        </w:r>
                      </w:p>
                      <w:p w:rsidR="006915A7" w:rsidRPr="00727FE8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הגניבה".</w:t>
                        </w:r>
                      </w:p>
                    </w:tc>
                    <w:tc>
                      <w:tcPr>
                        <w:tcW w:w="817" w:type="pct"/>
                      </w:tcPr>
                      <w:p w:rsidR="006915A7" w:rsidRPr="00727FE8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5</w:t>
                        </w:r>
                      </w:p>
                    </w:tc>
                  </w:tr>
                  <w:tr w:rsidR="006915A7" w:rsidRPr="00727FE8">
                    <w:trPr>
                      <w:jc w:val="right"/>
                    </w:trPr>
                    <w:tc>
                      <w:tcPr>
                        <w:tcW w:w="4183" w:type="pct"/>
                        <w:gridSpan w:val="2"/>
                      </w:tcPr>
                      <w:p w:rsidR="006915A7" w:rsidRPr="00727FE8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אחרי סעיף 6 לחוק העיקרי יבוא:</w:t>
                        </w:r>
                      </w:p>
                    </w:tc>
                    <w:tc>
                      <w:tcPr>
                        <w:tcW w:w="817" w:type="pct"/>
                      </w:tcPr>
                      <w:p w:rsidR="006915A7" w:rsidRPr="00727FE8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הוספת סעיף 6א</w:t>
                        </w:r>
                      </w:p>
                    </w:tc>
                  </w:tr>
                  <w:tr w:rsidR="006915A7">
                    <w:trPr>
                      <w:jc w:val="right"/>
                    </w:trPr>
                    <w:tc>
                      <w:tcPr>
                        <w:tcW w:w="3579" w:type="pct"/>
                      </w:tcPr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6א. (א) הודיע לקוח למנפיק, תוך שלושים ימים מיום שנמסרה הודעת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 על החייב. שהסכום במסמך המעיד על העסקה הוגדל ללא הרשאה,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ישיב לו המנפיק את ההפרש בין הסכום שעליו הודיע הלקוח כי התחייב בו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תמורת הנכסים שרכש, לבין הסכום שרשום במסמך, בערכו ביום החיוב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(להלן - סכום ההפרש);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המנפיק ישיב את סכום ההפרש, בהקדם האפשרי, אך לא יאוחר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מ-30 ימים מהיום שבו הודיע לו הלקוח כאמור.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באמור בסעיף קטן (א) כדי לגרוע מזכותו של מנפיק לחזור</w:t>
                        </w:r>
                      </w:p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ולחייב את הלקוח בסכום ההפרש כאמור בסעיף קטן (א), כולו או חלקו בערכו</w:t>
                        </w:r>
                      </w:p>
                    </w:tc>
                    <w:tc>
                      <w:tcPr>
                        <w:tcW w:w="604" w:type="pct"/>
                      </w:tcPr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'שינוי ללא</w:t>
                        </w:r>
                      </w:p>
                      <w:p w:rsidR="006915A7" w:rsidRPr="00727FE8" w:rsidRDefault="006915A7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הרשאה</w:t>
                        </w:r>
                      </w:p>
                    </w:tc>
                    <w:tc>
                      <w:tcPr>
                        <w:tcW w:w="817" w:type="pct"/>
                      </w:tcPr>
                      <w:p w:rsidR="006915A7" w:rsidRDefault="006915A7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</w:tbl>
                <w:p w:rsidR="006915A7" w:rsidRDefault="006915A7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7317" o:spid="_x0000_s1028" type="#_x0000_t202" style="position:absolute;left:0;text-align:left;margin-left:91.5pt;margin-top:371.9pt;width:378.75pt;height:81pt;z-index:1;mso-position-horizontal-relative:page;mso-position-vertical-relative:page" stroked="f">
            <v:textbox style="mso-next-textbox:#_x0000_s47317" inset="0,0,0,0">
              <w:txbxContent>
                <w:p w:rsidR="006915A7" w:rsidRDefault="006915A7">
                  <w:pPr>
                    <w:pStyle w:val="OCRStyle1"/>
                    <w:ind w:left="50"/>
                    <w:rPr>
                      <w:rtl/>
                    </w:rPr>
                  </w:pPr>
                </w:p>
                <w:p w:rsidR="006915A7" w:rsidRDefault="006915A7">
                  <w:pPr>
                    <w:pStyle w:val="OCRStyle1"/>
                    <w:ind w:left="252"/>
                    <w:rPr>
                      <w:rtl/>
                    </w:rPr>
                  </w:pPr>
                </w:p>
                <w:p w:rsidR="006915A7" w:rsidRDefault="006915A7">
                  <w:pPr>
                    <w:pStyle w:val="OCRStyle1"/>
                    <w:ind w:left="256"/>
                    <w:rPr>
                      <w:rtl/>
                    </w:rPr>
                  </w:pPr>
                </w:p>
                <w:p w:rsidR="006915A7" w:rsidRDefault="006915A7">
                  <w:pPr>
                    <w:pStyle w:val="OCRStyle1"/>
                    <w:ind w:left="61"/>
                    <w:rPr>
                      <w:rtl/>
                    </w:rPr>
                  </w:pPr>
                </w:p>
                <w:p w:rsidR="006915A7" w:rsidRPr="00727FE8" w:rsidRDefault="006915A7">
                  <w:pPr>
                    <w:pStyle w:val="OCRStyle1"/>
                    <w:ind w:left="1516"/>
                    <w:rPr>
                      <w:sz w:val="22"/>
                      <w:szCs w:val="22"/>
                    </w:rPr>
                  </w:pPr>
                  <w:r>
                    <w:rPr>
                      <w:sz w:val="22"/>
                      <w:szCs w:val="22"/>
                      <w:rtl/>
                    </w:rPr>
                    <w:t>חוק כרטיסי חיוב (תיקון), התשנ"ד-1994*</w:t>
                  </w:r>
                </w:p>
              </w:txbxContent>
            </v:textbox>
            <w10:wrap anchorx="page" anchory="page"/>
          </v:shape>
        </w:pict>
      </w:r>
    </w:p>
    <w:p w:rsidR="007D05F0" w:rsidRDefault="007D05F0">
      <w:pPr>
        <w:rPr>
          <w:rtl/>
        </w:rPr>
      </w:pPr>
      <w:r>
        <w:rPr>
          <w:rtl/>
        </w:rPr>
        <w:br w:type="page"/>
      </w:r>
    </w:p>
    <w:p w:rsidR="007D05F0" w:rsidRDefault="00000000">
      <w:pPr>
        <w:rPr>
          <w:rtl/>
        </w:rPr>
      </w:pPr>
      <w:r>
        <w:pict>
          <v:shape id="_x0000_s47318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47318" inset="0,0,0,0">
              <w:txbxContent>
                <w:p w:rsidR="006915A7" w:rsidRDefault="006915A7">
                  <w:r>
                    <w:rPr>
                      <w:rtl/>
                    </w:rPr>
                    <w:t>265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19" o:spid="_x0000_s1030" type="#_x0000_t202" style="position:absolute;left:0;text-align:left;margin-left:366.4pt;margin-top:718.05pt;width:187.7pt;height:37.05pt;z-index:6;mso-position-horizontal-relative:page;mso-position-vertical-relative:page" stroked="f">
            <v:textbox style="mso-next-textbox:#_x0000_s47319" inset="0,0,0,0">
              <w:txbxContent>
                <w:p w:rsidR="006915A7" w:rsidRDefault="006915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  <w:r>
        <w:pict>
          <v:shape id="_x0000_s47320" o:spid="_x0000_s1031" type="#_x0000_t202" style="position:absolute;left:0;text-align:left;margin-left:84.85pt;margin-top:65.65pt;width:470.85pt;height:615.4pt;z-index:5;mso-position-horizontal-relative:page;mso-position-vertical-relative:page" stroked="f">
            <v:textbox style="mso-next-textbox:#_x0000_s47320" inset="0,0,0,0">
              <w:txbxContent>
                <w:tbl>
                  <w:tblPr>
                    <w:tblW w:w="4437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43"/>
                    <w:gridCol w:w="5725"/>
                    <w:gridCol w:w="1394"/>
                  </w:tblGrid>
                  <w:tr w:rsidR="006915A7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ביום החיוב, אם נוכח שהלקוח אכן התחייב גם בסכום ההפרש הרשום במסמך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כולו או חלקו; המנפיק ימסור ללקוח הודעה המפרטת את הנימוקים לחיוב לפי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קטן זה, לפחות חמישה עשר ימים לפני החיוב בפועל, וימסור ללקוח, לפי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דרישתו, עותקי מסמכים שבידו לענין זה.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(ר) נמסרה הודעת הלקוח כאמור בסעיף קטן (א) בעל פה או באמצעות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הטלפון, רשאי המנפיק לבקש מהלקוח לאשר תוך זמן סביר את ההודעה בכתב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לרבות תיאור נסיבות המקרה-, ואולם העדר אישור ההודעה בכתב כאמור, לא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יגרע מזכויות הלקוח לפי סעיף זה.''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</w:tr>
                  <w:tr w:rsidR="006915A7" w:rsidRPr="007D05F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9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במקום סעיף 9 לחוק העיקרי יבוא;</w:t>
                        </w:r>
                      </w:p>
                    </w:tc>
                  </w:tr>
                  <w:tr w:rsidR="006915A7" w:rsidRPr="007D05F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(א) בסעיף זה, ''עסקה במסמך חסר'' - עסקה בין לקוח לבין ספק, שבה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לא הוצג כרטיס אשראי, או עסקה שבמסמך המעיר עליה לא צוינו פרטים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כאמור בסעיף 8, או עסקה שהמסמך המעיד עליה לא נחתם בידי הלקוח.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חויב לקוח לשלם את תמורתה של עסקה במסמך חסר, והודיע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למנפיק, תוך שלושים ימים מיום שנמסרה הודעת המנפיק על החיוב שהוא לא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ביצע את העסקה או שפרטי המסמך הושלמו שלא בסכום שבו התחייב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הלקוח, ישיב לו המנפיק את סכום החיוב בערכו ביום החיוב, או את ההפרש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שבין סכום החיוב המוסכם על הלקוח לפי הודעתו, לבין הסכום הרשום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במסמך, לפי הענין, תוך חמישה עשר ימים מיום מסירת הודעת הלקוח,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והוראות סעיפים קטנים (ג) ו-(ד) לסעיף 6א יחולו, בשינויים המחויבים."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"עסקה במסמך</w:t>
                        </w:r>
                      </w:p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חסר</w:t>
                        </w:r>
                      </w:p>
                    </w:tc>
                  </w:tr>
                  <w:tr w:rsidR="006915A7" w:rsidRPr="007D05F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10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בסעיף 10 לחוק העיקרי -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(0 האמור בו יסומן (א) ובמקום המלים "עם הספק'' יבוא "לענין סעיף זה אין נפקה מינה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 נותן את האשראי ללקוח לצורך ביצוע העסקה.''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יבוא: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הוראות סעיף קטן (א) יחולו על המנפיק, גם אם מי שהציג לו את המסמך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המעיר על העסקה באמצעות כרטיס אשראי, אינו הספק שהתקשר בעסקה עם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הלקוח.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אין בהוראות סעיף קטן (א) כדי לגרוע מזכותו של המנפיק לחזור ולחייב את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הלקוח בשל אותה עסקה, אם נוכח שהנכס שנרכש באותה עסקה סופק ללקוח או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שהלקוח לא ביטל את העסקה; המנפיק ימסור ללקוח הודעה המפרטת את הנימוקים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לחיוב, לפחות חמישה עשר ימים לפני החיוב בפועל, וימסור ללקוח, לפי דרישתו,</w:t>
                        </w:r>
                      </w:p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עותקי מסמכים שבידו לענין זה."</w:t>
                        </w:r>
                      </w:p>
                    </w:tc>
                  </w:tr>
                  <w:tr w:rsidR="006915A7" w:rsidRPr="007D05F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12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בסעיף 12 לחוק העיקרי, בסעיף קטן (א), אחרי "הגניבה של כרטיס חיוב" יבוא "או על</w:t>
                        </w:r>
                      </w:p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נסיבות הגדלת הסכום כאמור בסעיף 6א".</w:t>
                        </w:r>
                      </w:p>
                    </w:tc>
                  </w:tr>
                  <w:tr w:rsidR="006915A7" w:rsidRPr="007D05F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החלפת סעיף 18</w:t>
                        </w:r>
                      </w:p>
                    </w:tc>
                    <w:tc>
                      <w:tcPr>
                        <w:tcW w:w="4157" w:type="pct"/>
                        <w:gridSpan w:val="2"/>
                      </w:tcPr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במקום סעיף 18 לחוק העיקרי יבוא:</w:t>
                        </w:r>
                      </w:p>
                    </w:tc>
                  </w:tr>
                  <w:tr w:rsidR="006915A7" w:rsidRPr="007D05F0">
                    <w:trPr>
                      <w:jc w:val="right"/>
                    </w:trPr>
                    <w:tc>
                      <w:tcPr>
                        <w:tcW w:w="843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3343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המחזיק בחומר או במכשיר המיועד לייצור כרטיס חיוב של מנפיק או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להדפסה, למחיקה להוספת נתונים או לעריכת שינויים על גבי כרטיס חיוב של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המנפיק, והכל ללא הסכמת אותו מנפיק, דינו - מאסר שלוש שנים".</w:t>
                        </w:r>
                      </w:p>
                    </w:tc>
                    <w:tc>
                      <w:tcPr>
                        <w:tcW w:w="814" w:type="pct"/>
                      </w:tcPr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"החזקת ציוד</w:t>
                        </w:r>
                      </w:p>
                      <w:p w:rsidR="006915A7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לזיוף כרטיס</w:t>
                        </w:r>
                      </w:p>
                      <w:p w:rsidR="006915A7" w:rsidRPr="007D05F0" w:rsidRDefault="006915A7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חיוב</w:t>
                        </w:r>
                      </w:p>
                    </w:tc>
                  </w:tr>
                </w:tbl>
                <w:p w:rsidR="006915A7" w:rsidRDefault="006915A7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6915A7" w:rsidRDefault="006915A7">
      <w:pPr>
        <w:rPr>
          <w:rtl/>
        </w:rPr>
      </w:pPr>
      <w:r>
        <w:rPr>
          <w:rtl/>
        </w:rPr>
        <w:br w:type="page"/>
      </w:r>
    </w:p>
    <w:p w:rsidR="006915A7" w:rsidRDefault="00000000">
      <w:pPr>
        <w:rPr>
          <w:rtl/>
        </w:rPr>
      </w:pPr>
      <w:r>
        <w:pict>
          <v:shape id="_x0000_s47321" o:spid="_x0000_s1032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47321" inset="0,0,0,0">
              <w:txbxContent>
                <w:p w:rsidR="006915A7" w:rsidRDefault="006915A7">
                  <w:r>
                    <w:rPr>
                      <w:rtl/>
                    </w:rPr>
                    <w:t>266                                         ספר החוקים 1476                    כ"ז באב התשנ"ד 04.08.1994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2" o:spid="_x0000_s1033" type="#_x0000_t202" style="position:absolute;left:0;text-align:left;margin-left:107.3pt;margin-top:242.05pt;width:68.9pt;height:30.9pt;z-index:12;mso-position-horizontal-relative:page;mso-position-vertical-relative:page" stroked="f">
            <v:textbox style="mso-next-textbox:#_x0000_s47322" inset="0,0,0,0">
              <w:txbxContent>
                <w:p w:rsidR="006915A7" w:rsidRDefault="006915A7">
                  <w:pPr>
                    <w:pStyle w:val="OCRStyle3"/>
                    <w:ind w:left="94"/>
                    <w:rPr>
                      <w:rtl/>
                    </w:rPr>
                  </w:pPr>
                  <w:r>
                    <w:rPr>
                      <w:rtl/>
                    </w:rPr>
                    <w:t>דוד ליבאי</w:t>
                  </w:r>
                </w:p>
                <w:p w:rsidR="006915A7" w:rsidRDefault="006915A7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3" o:spid="_x0000_s1034" type="#_x0000_t202" style="position:absolute;left:0;text-align:left;margin-left:194.2pt;margin-top:268.75pt;width:82.75pt;height:37.05pt;z-index:11;mso-position-horizontal-relative:page;mso-position-vertical-relative:page" stroked="f">
            <v:textbox style="mso-next-textbox:#_x0000_s47323" inset="0,0,0,0">
              <w:txbxContent>
                <w:p w:rsidR="006915A7" w:rsidRDefault="006915A7">
                  <w:pPr>
                    <w:pStyle w:val="OCRStyle3"/>
                    <w:ind w:left="284"/>
                    <w:rPr>
                      <w:rtl/>
                    </w:rPr>
                  </w:pPr>
                  <w:r>
                    <w:rPr>
                      <w:rtl/>
                    </w:rPr>
                    <w:t>שבח וייס</w:t>
                  </w:r>
                </w:p>
                <w:p w:rsidR="006915A7" w:rsidRDefault="006915A7">
                  <w:pPr>
                    <w:pStyle w:val="OCRStyle3"/>
                    <w:ind w:left="108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4" o:spid="_x0000_s1035" type="#_x0000_t202" style="position:absolute;left:0;text-align:left;margin-left:295pt;margin-top:243.85pt;width:74.05pt;height:28.3pt;z-index:10;mso-position-horizontal-relative:page;mso-position-vertical-relative:page" stroked="f">
            <v:textbox style="mso-next-textbox:#_x0000_s47324" inset="0,0,0,0">
              <w:txbxContent>
                <w:p w:rsidR="006915A7" w:rsidRDefault="006915A7">
                  <w:pPr>
                    <w:pStyle w:val="OCRStyle3"/>
                    <w:ind w:left="133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6915A7" w:rsidRDefault="006915A7">
                  <w:pPr>
                    <w:pStyle w:val="OCRStyle3"/>
                    <w:ind w:left="112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5" o:spid="_x0000_s1036" type="#_x0000_t202" style="position:absolute;left:0;text-align:left;margin-left:395.8pt;margin-top:269.55pt;width:65.35pt;height:32.65pt;z-index:9;mso-position-horizontal-relative:page;mso-position-vertical-relative:page" stroked="f">
            <v:textbox style="mso-next-textbox:#_x0000_s47325" inset="0,0,0,0">
              <w:txbxContent>
                <w:p w:rsidR="006915A7" w:rsidRDefault="006915A7">
                  <w:pPr>
                    <w:pStyle w:val="OCRStyle3"/>
                    <w:ind w:left="148"/>
                    <w:rPr>
                      <w:rtl/>
                    </w:rPr>
                  </w:pPr>
                  <w:r>
                    <w:rPr>
                      <w:rtl/>
                    </w:rPr>
                    <w:t>עזר ויצ מן</w:t>
                  </w:r>
                </w:p>
                <w:p w:rsidR="006915A7" w:rsidRDefault="006915A7">
                  <w:pPr>
                    <w:pStyle w:val="OCRStyle3"/>
                    <w:ind w:left="148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7326" o:spid="_x0000_s1037" type="#_x0000_t202" style="position:absolute;left:0;text-align:left;margin-left:88.3pt;margin-top:63.05pt;width:464.9pt;height:173.05pt;z-index:8;mso-position-horizontal-relative:page;mso-position-vertical-relative:page" stroked="f">
            <v:textbox style="mso-next-textbox:#_x0000_s47326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9"/>
                    <w:gridCol w:w="1393"/>
                  </w:tblGrid>
                  <w:tr w:rsidR="006915A7" w:rsidRPr="006915A7">
                    <w:trPr>
                      <w:jc w:val="right"/>
                    </w:trPr>
                    <w:tc>
                      <w:tcPr>
                        <w:tcW w:w="4176" w:type="pct"/>
                      </w:tcPr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בסעיף 19 לחוק העיקרי -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האמור בו יסומן (א), ובו, במקום הקטע המתחיל במלים ''או כשאין לו יסור סביר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להניח'' ומסתיים במלים ''מיום שנדרש לכך" יבוא ''או שהיה לו יסוד סביר להניח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שהשימוש יגרום לחריגה כאמור, דינו - קנס כאמור בסעיף 61(א)(4) לחוק העונשין, או פי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ארבעה מסכום החריגה שבוצעה, לפי הסכום הגדול שבהם''.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(א) יבוא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'(ב) נוצרה יתרת חוב שלא בהתאם לחוזה כרטיס האשראי והחוב לא סולק תוך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עשרה ימים מיום שהלקוח נדרש לשלמו, חזקה שהלקוח ידע שהשימוש יגרום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לחריגה כאמור בסעיף קטן (א), או שהיה לו יסוד סביר להניח שהשימוש יגרום</w:t>
                        </w:r>
                      </w:p>
                      <w:p w:rsid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לחריגה כאמור ועליו הראיה לסתור ''</w:t>
                        </w:r>
                      </w:p>
                    </w:tc>
                    <w:tc>
                      <w:tcPr>
                        <w:tcW w:w="824" w:type="pct"/>
                      </w:tcPr>
                      <w:p w:rsidR="006915A7" w:rsidRPr="006915A7" w:rsidRDefault="006915A7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סעיף 19</w:t>
                        </w:r>
                      </w:p>
                    </w:tc>
                  </w:tr>
                </w:tbl>
                <w:p w:rsidR="006915A7" w:rsidRDefault="006915A7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727F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27F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9136B01D-52BB-4D03-9500-A201628A96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727FE8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7D05F0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6915A7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</Words>
  <Characters>19</Characters>
  <Application>Microsoft Office Word</Application>
  <DocSecurity>4</DocSecurity>
  <Lines>1</Lines>
  <Paragraphs>1</Paragraphs>
  <ScaleCrop>false</ScaleCrop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4</cp:revision>
  <dcterms:created xsi:type="dcterms:W3CDTF">2008-04-07T09:46:00Z</dcterms:created>
  <dcterms:modified xsi:type="dcterms:W3CDTF">2008-04-07T09:47:00Z</dcterms:modified>
</cp:coreProperties>
</file>