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67D2D" w:rsidRDefault="00E67D2D">
      <w:pPr>
        <w:rPr>
          <w:rtl/>
        </w:rPr>
      </w:pPr>
    </w:p>
    <w:p w:rsidR="00E67D2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347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7347" inset="0,0,0,0">
              <w:txbxContent>
                <w:p w:rsidR="00E67D2D" w:rsidRDefault="00E67D2D">
                  <w:r>
                    <w:rPr>
                      <w:rtl/>
                    </w:rPr>
                    <w:t>210                                         ספר החוקים 1634                     ב' באב התשנ"ז 05.08.1997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48" o:spid="_x0000_s1026" type="#_x0000_t202" style="position:absolute;left:0;text-align:left;margin-left:96.55pt;margin-top:321.4pt;width:383.7pt;height:35.45pt;z-index:7;mso-position-horizontal-relative:page;mso-position-vertical-relative:page" stroked="f">
            <v:textbox style="mso-next-textbox:#_x0000_s47348" inset="0,0,0,0">
              <w:txbxContent>
                <w:p w:rsidR="00E67D2D" w:rsidRDefault="00E67D2D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כ"ד בתמוז התשנ"ז (29 ביולי 1997); הצעת החוק ודברי הסבר פורסמו בהצעות חוק</w:t>
                  </w:r>
                </w:p>
                <w:p w:rsidR="00E67D2D" w:rsidRDefault="00E67D2D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2595, מיום א' באדר ב- התשנ"ז (10 במרס 1997), עמי 226.</w:t>
                  </w:r>
                </w:p>
                <w:p w:rsidR="00E67D2D" w:rsidRPr="00E67D2D" w:rsidRDefault="00E67D2D">
                  <w:pPr>
                    <w:pStyle w:val="OCRStyle1"/>
                    <w:ind w:left="43"/>
                  </w:pPr>
                  <w:r>
                    <w:rPr>
                      <w:rtl/>
                    </w:rPr>
                    <w:t>1 דיני מדינת ישראל, נוסח חדש 12, עמ' 284; ס"ח התשנ"ז, עמ' .125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49" o:spid="_x0000_s1027" type="#_x0000_t202" style="position:absolute;left:0;text-align:left;margin-left:196.55pt;margin-top:275.45pt;width:97.2pt;height:26.15pt;z-index:6;mso-position-horizontal-relative:page;mso-position-vertical-relative:page" stroked="f">
            <v:textbox style="mso-next-textbox:#_x0000_s47349" inset="0,0,0,0">
              <w:txbxContent>
                <w:p w:rsidR="00E67D2D" w:rsidRDefault="00E67D2D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E67D2D" w:rsidRDefault="00E67D2D">
                  <w:pPr>
                    <w:pStyle w:val="OCRStyle1"/>
                    <w:ind w:left="10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50" o:spid="_x0000_s1028" type="#_x0000_t202" style="position:absolute;left:0;text-align:left;margin-left:396.9pt;margin-top:274.45pt;width:85.75pt;height:25.55pt;z-index:5;mso-position-horizontal-relative:page;mso-position-vertical-relative:page" stroked="f">
            <v:textbox style="mso-next-textbox:#_x0000_s47350" inset="0,0,0,0">
              <w:txbxContent>
                <w:p w:rsidR="00E67D2D" w:rsidRDefault="00E67D2D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E67D2D" w:rsidRDefault="00E67D2D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51" o:spid="_x0000_s1029" type="#_x0000_t202" style="position:absolute;left:0;text-align:left;margin-left:97.55pt;margin-top:243pt;width:99pt;height:28.1pt;z-index:4;mso-position-horizontal-relative:page;mso-position-vertical-relative:page" stroked="f">
            <v:textbox style="mso-next-textbox:#_x0000_s47351" inset="0,0,0,0">
              <w:txbxContent>
                <w:p w:rsidR="00E67D2D" w:rsidRDefault="00E67D2D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צחי הנגבי</w:t>
                  </w:r>
                </w:p>
                <w:p w:rsidR="00E67D2D" w:rsidRDefault="00E67D2D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52" o:spid="_x0000_s1030" type="#_x0000_t202" style="position:absolute;left:0;text-align:left;margin-left:289.6pt;margin-top:244.75pt;width:108.1pt;height:29.5pt;z-index:3;mso-position-horizontal-relative:page;mso-position-vertical-relative:page" stroked="f">
            <v:textbox style="mso-next-textbox:#_x0000_s47352" inset="0,0,0,0">
              <w:txbxContent>
                <w:p w:rsidR="00E67D2D" w:rsidRDefault="00E67D2D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E67D2D" w:rsidRDefault="00E67D2D">
                  <w:pPr>
                    <w:pStyle w:val="OCRStyle1"/>
                    <w:ind w:left="42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53" o:spid="_x0000_s1031" type="#_x0000_t202" style="position:absolute;left:0;text-align:left;margin-left:94.95pt;margin-top:106.15pt;width:465.3pt;height:126.9pt;z-index:2;mso-position-horizontal-relative:page;mso-position-vertical-relative:page" stroked="f">
            <v:textbox style="mso-next-textbox:#_x0000_s4735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2"/>
                    <w:gridCol w:w="1379"/>
                  </w:tblGrid>
                  <w:tr w:rsidR="00E67D2D" w:rsidRPr="00E67D2D">
                    <w:trPr>
                      <w:jc w:val="right"/>
                    </w:trPr>
                    <w:tc>
                      <w:tcPr>
                        <w:tcW w:w="4185" w:type="pct"/>
                      </w:tcPr>
                      <w:p w:rsidR="00E67D2D" w:rsidRDefault="00E67D2D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בפקודת סדר הדין הפלילי (מעצר וחיפוש) [נוסח חדש], התשכ"ט-1969 1, אחרי סעיף</w:t>
                        </w:r>
                      </w:p>
                      <w:p w:rsidR="00E67D2D" w:rsidRPr="00E67D2D" w:rsidRDefault="00E67D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 יבוא:</w:t>
                        </w:r>
                      </w:p>
                    </w:tc>
                    <w:tc>
                      <w:tcPr>
                        <w:tcW w:w="815" w:type="pct"/>
                      </w:tcPr>
                      <w:p w:rsidR="00E67D2D" w:rsidRPr="00E67D2D" w:rsidRDefault="00E67D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38א</w:t>
                        </w:r>
                      </w:p>
                    </w:tc>
                  </w:tr>
                  <w:tr w:rsidR="00E67D2D">
                    <w:trPr>
                      <w:jc w:val="right"/>
                    </w:trPr>
                    <w:tc>
                      <w:tcPr>
                        <w:tcW w:w="4185" w:type="pct"/>
                      </w:tcPr>
                      <w:p w:rsidR="00E67D2D" w:rsidRDefault="00E67D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-ערר 38א. (א) שוטר מוסמך, אדם שהחפץ נלקח ממנו או תובע זכות בחפץ</w:t>
                        </w:r>
                      </w:p>
                      <w:p w:rsidR="00E67D2D" w:rsidRDefault="00E67D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רשאים לערור על החלטת בית המשפט לפי סעיפים 54 עד 58, לפני בית</w:t>
                        </w:r>
                      </w:p>
                      <w:p w:rsidR="00E67D2D" w:rsidRDefault="00E67D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המחוזי אשר ידון בערר בשופט אחד.</w:t>
                        </w:r>
                      </w:p>
                      <w:p w:rsidR="00E67D2D" w:rsidRDefault="00E67D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החלטת בית המשפט המחוזי לפי סעיף קטן (א) ניתן לערור</w:t>
                        </w:r>
                      </w:p>
                      <w:p w:rsidR="00E67D2D" w:rsidRDefault="00E67D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בית המשפט העליון שידון בערר בשופט אחד, אם ניתנה רשות לכך</w:t>
                        </w:r>
                      </w:p>
                      <w:p w:rsidR="00E67D2D" w:rsidRPr="00E67D2D" w:rsidRDefault="00E67D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מאת שופט של בית המשפט העליון."</w:t>
                        </w:r>
                      </w:p>
                    </w:tc>
                    <w:tc>
                      <w:tcPr>
                        <w:tcW w:w="815" w:type="pct"/>
                      </w:tcPr>
                      <w:p w:rsidR="00E67D2D" w:rsidRDefault="00E67D2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E67D2D" w:rsidRDefault="00E67D2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354" o:spid="_x0000_s1032" type="#_x0000_t202" style="position:absolute;left:0;text-align:left;margin-left:109.05pt;margin-top:73.1pt;width:377.8pt;height:31.3pt;z-index:1;mso-position-horizontal-relative:page;mso-position-vertical-relative:page" stroked="f">
            <v:textbox style="mso-next-textbox:#_x0000_s47354" inset="0,0,0,0">
              <w:txbxContent>
                <w:p w:rsidR="00E67D2D" w:rsidRDefault="00E67D2D">
                  <w:pPr>
                    <w:pStyle w:val="OCRStyle1"/>
                    <w:ind w:left="446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סדר הדין הפלילי (מעצר וחיפוש) (תיקון מס' 10),</w:t>
                  </w:r>
                </w:p>
                <w:p w:rsidR="00E67D2D" w:rsidRPr="00E67D2D" w:rsidRDefault="00E67D2D">
                  <w:pPr>
                    <w:pStyle w:val="OCRStyle1"/>
                    <w:ind w:left="282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התשנ"ז-1997*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67D2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7D2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A41C290-A75D-465F-883B-5D8126BFA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67D2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2008-04-07T10:28:00Z</dcterms:created>
  <dcterms:modified xsi:type="dcterms:W3CDTF">2008-04-07T10:28:00Z</dcterms:modified>
</cp:coreProperties>
</file>