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5596" w:rsidRDefault="00C05596">
      <w:pPr>
        <w:rPr>
          <w:rtl/>
        </w:rPr>
      </w:pPr>
    </w:p>
    <w:p w:rsidR="00C0559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4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438" inset="0,0,0,0">
              <w:txbxContent>
                <w:p w:rsidR="00AA5875" w:rsidRDefault="00AA5875">
                  <w:r>
                    <w:rPr>
                      <w:rtl/>
                    </w:rPr>
                    <w:t>180                                         ספר החוקים 1629                   ה' בתמוז התשנ"ז 10.07.1997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39" o:spid="_x0000_s1026" type="#_x0000_t202" style="position:absolute;left:0;text-align:left;margin-left:83.4pt;margin-top:662.25pt;width:401.95pt;height:81.6pt;z-index:3;mso-position-horizontal-relative:page;mso-position-vertical-relative:page" stroked="f">
            <v:textbox style="mso-next-textbox:#_x0000_s47439" inset="0,0,0,0">
              <w:txbxContent>
                <w:p w:rsidR="00AA5875" w:rsidRDefault="00AA5875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כ-ו בסיון התשנ"ז (ו ביולי 1997); הצעת החוק ודברי הסבר פורסמו בהצעות חוק</w:t>
                  </w:r>
                </w:p>
                <w:p w:rsidR="00AA5875" w:rsidRDefault="00AA5875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2609, מיום י'ז באדר ב' התשנ''ז (26 במרס 1997), עמ' 296.</w:t>
                  </w:r>
                </w:p>
                <w:p w:rsidR="00AA5875" w:rsidRPr="00C05596" w:rsidRDefault="00AA5875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י דיני מדינת ישראל, נוסח חדש 7, עמ' 173; ס"ח התשנ-ז, עמ' .96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40" o:spid="_x0000_s1027" type="#_x0000_t202" style="position:absolute;left:0;text-align:left;margin-left:86.8pt;margin-top:94.6pt;width:469.45pt;height:567.65pt;z-index:2;mso-position-horizontal-relative:page;mso-position-vertical-relative:page" stroked="f">
            <v:textbox style="mso-next-textbox:#_x0000_s474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5"/>
                    <w:gridCol w:w="1332"/>
                    <w:gridCol w:w="1390"/>
                  </w:tblGrid>
                  <w:tr w:rsidR="00AA5875" w:rsidRPr="00C05596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A5875" w:rsidRPr="00C05596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בפקודת התעבורה 1 (להלן - הפקודה), במקום כותרת הפרק השישי יבוא:</w:t>
                        </w:r>
                      </w:p>
                    </w:tc>
                    <w:tc>
                      <w:tcPr>
                        <w:tcW w:w="814" w:type="pct"/>
                        <w:vMerge w:val="restart"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  <w:p w:rsidR="00AA5875" w:rsidRPr="00C05596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 הששי</w:t>
                        </w:r>
                      </w:p>
                    </w:tc>
                  </w:tr>
                  <w:tr w:rsidR="00AA5875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''פרק שישי: פסילת רשיון ואיסור שימוש ברכב''.</w:t>
                        </w:r>
                      </w:p>
                    </w:tc>
                    <w:tc>
                      <w:tcPr>
                        <w:tcW w:w="814" w:type="pct"/>
                        <w:vMerge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A5875" w:rsidRPr="00C05596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47(יא) לפקודה, אחרי "יוגש'' יבוא "כתב".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A5875" w:rsidRPr="00C05596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AA5875" w:rsidRPr="00C05596">
                    <w:trPr>
                      <w:jc w:val="right"/>
                    </w:trPr>
                    <w:tc>
                      <w:tcPr>
                        <w:tcW w:w="4186" w:type="pct"/>
                        <w:gridSpan w:val="2"/>
                      </w:tcPr>
                      <w:p w:rsidR="00AA5875" w:rsidRPr="00C05596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57 לפקודה יבוא:</w:t>
                        </w:r>
                      </w:p>
                    </w:tc>
                    <w:tc>
                      <w:tcPr>
                        <w:tcW w:w="814" w:type="pct"/>
                        <w:vMerge w:val="restart"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A5875" w:rsidRPr="00C05596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 עד 57ז</w:t>
                        </w:r>
                      </w:p>
                    </w:tc>
                  </w:tr>
                  <w:tr w:rsidR="00AA5875">
                    <w:trPr>
                      <w:jc w:val="right"/>
                    </w:trPr>
                    <w:tc>
                      <w:tcPr>
                        <w:tcW w:w="3406" w:type="pct"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(א)(ו) מצא שוטר, לאחר שקילתו של רכב מסחרי, כי הוביל אדם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מטען ברכב כאשר משקלו הכולל של הרכב והמטען המובל בו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המשקל הכולל המותר לפי רשיון הרכב, רשאי הוא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לנהג הודעה האוסרת את השימוש ברכב (להלן -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איסור שימוש) לתקופה של 50 ימים וליטול את רשיון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הרכב.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ימסור שוטר הודעת איסור שימוש אלא אם כן הובלת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המטען כאמור בפסקה (ו) אינה מהווה עבירת קנס.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בהודעת איסור שימוש יציין השוטר את אלה-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המקום שבו יש לפרוק את המטען שהובל ברכב, לרבות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פריקת המטען העודף, אם פריקתו במקום שבו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הרכב אינה אפשרית בנסיבות הענין; לענין זה, "מטען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עודף" - מטען שמשקלו כמשקל ההפרש שבין המשקל הכולל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 לפי רשיון הרכב לבין משקלו הגולל של הרכב והמטען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המובל בו;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המקום שבו יועמד הרכב במהלך תקופת איסור השימוש,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בהתחשב בהצעתו של הנהג, ובלבד שאין בהעמדת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במקום המוצע כדי להפריע לתנועה או לבטיחות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הציבור;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המועד האחרון לביצוע הפעולות האמורות בפסקאות (ו)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ו-(2).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ישתמש אדם ברכב שלגביו ניתנה הודעת איסור שימוש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לצורך נסיעה לשם ביצוע הפעולות האמורות בסעיף קטן (ב),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במקומות ובמועדים שצוינו בהודעה, ולא יעבירו מהמקום שנקבע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להעמדת הרכב אלא לאחר קבלת אישור בכתב מקצין משטרה.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המשטרה תעביר רשיון רכב שניטל והעתק מהודעת איסור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לרשות הרישוי; העתק מהודעת איסור השימוש יישלח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לבעל הרבב, אם לא נמסר לו במעמד מסירת הודעת איסור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השימוש-,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נטל שוטר את רשיון הרכב, ימסור בעל הרכב את רשיון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לרשות שנקבעה בתקנות, במועד שנקבע בתקנות, לאחר</w:t>
                        </w:r>
                      </w:p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שהובא לידיעתו דבר מתן הודעת איסור השימוש.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-איסור מנהלי</w:t>
                        </w:r>
                      </w:p>
                      <w:p w:rsidR="00AA5875" w:rsidRPr="00C05596" w:rsidRDefault="00AA58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שימוש ברכב</w:t>
                        </w:r>
                      </w:p>
                    </w:tc>
                    <w:tc>
                      <w:tcPr>
                        <w:tcW w:w="814" w:type="pct"/>
                        <w:vMerge/>
                      </w:tcPr>
                      <w:p w:rsidR="00AA5875" w:rsidRDefault="00AA587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A5875" w:rsidRDefault="00AA58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441" o:spid="_x0000_s1028" type="#_x0000_t202" style="position:absolute;left:0;text-align:left;margin-left:123.8pt;margin-top:72.2pt;width:340.75pt;height:20.8pt;z-index:1;mso-position-horizontal-relative:page;mso-position-vertical-relative:page" stroked="f">
            <v:textbox style="mso-next-textbox:#_x0000_s47441" inset="0,0,0,0">
              <w:txbxContent>
                <w:p w:rsidR="00AA5875" w:rsidRPr="00C05596" w:rsidRDefault="00AA5875">
                  <w:pPr>
                    <w:pStyle w:val="OCRStyle1"/>
                    <w:ind w:left="73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התעבורה (מסי 42), התשנ"ז-1997*</w:t>
                  </w:r>
                </w:p>
              </w:txbxContent>
            </v:textbox>
            <w10:wrap anchorx="page" anchory="page"/>
          </v:shape>
        </w:pict>
      </w:r>
    </w:p>
    <w:p w:rsidR="004159F0" w:rsidRDefault="004159F0">
      <w:pPr>
        <w:rPr>
          <w:rtl/>
        </w:rPr>
      </w:pPr>
      <w:r>
        <w:rPr>
          <w:rtl/>
        </w:rPr>
        <w:br w:type="page"/>
      </w:r>
    </w:p>
    <w:p w:rsidR="004159F0" w:rsidRDefault="00000000">
      <w:pPr>
        <w:rPr>
          <w:rtl/>
        </w:rPr>
      </w:pPr>
      <w:r>
        <w:pict>
          <v:shape id="_x0000_s4744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442" inset="0,0,0,0">
              <w:txbxContent>
                <w:p w:rsidR="00AA5875" w:rsidRDefault="00AA5875">
                  <w:r>
                    <w:rPr>
                      <w:rtl/>
                    </w:rPr>
                    <w:t>181                                         ספר החוקים 1629                   ה' בתמוז התשנ"ז 10.07.1997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43" o:spid="_x0000_s1030" type="#_x0000_t202" style="position:absolute;left:0;text-align:left;margin-left:337.65pt;margin-top:713.5pt;width:208.7pt;height:23.15pt;z-index:6;mso-position-horizontal-relative:page;mso-position-vertical-relative:page" stroked="f">
            <v:textbox style="mso-next-textbox:#_x0000_s47443" inset="0,0,0,0">
              <w:txbxContent>
                <w:p w:rsidR="00AA5875" w:rsidRDefault="00AA58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444" o:spid="_x0000_s1031" type="#_x0000_t202" style="position:absolute;left:0;text-align:left;margin-left:149.55pt;margin-top:58.5pt;width:393.45pt;height:618.75pt;z-index:5;mso-position-horizontal-relative:page;mso-position-vertical-relative:page" stroked="f">
            <v:textbox style="mso-next-textbox:#_x0000_s47444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5"/>
                    <w:gridCol w:w="1267"/>
                  </w:tblGrid>
                  <w:tr w:rsidR="00AA5875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קצין משטרה יבטל את הודעת איסור השימוש ויודיע על כך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לרשות הרישוי, בכל אחד מאלה: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בעל הרבב הוכיח כי הרכב נלקח ממנו בלי ידיעתו ובלי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הסכמתו;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שוכנע כי לא יוגש כתב אישום בשל הובלת המטען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(א)(1).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נמחק כתב האישום, בטלה הודעת איסור השימוש, והתובע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מיד לרשות הרישוי.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A5875" w:rsidRPr="004159F0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57ב. (א) בעל הרכב שלגביו ניתנה הודעת איסור שימוש לפי סעיף 57א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הנהג שקיבל את ההודעה, רשאים לבקש מבית המשפט, המוסמך לדון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תעבורה, לבטל את הודעת איסור השימוש; בית המשפט יחליט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לאחר ששמע את היועץ המשפטי לממשלה או את בא כוחו או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שוטר.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יבטל את הודעת איסור השימוש אם נוכח כי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התקיים אחד מאלה: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הרכב נלקח מבעליו בלי ידיעתו ובלי הסכמתו;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שנהג ברכב פעל בניגוד להוראותיו של בעל הרכב,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ובעל הרכב עשה כל שביכולתו כדי למנוע נסיעה כאמור בסעיף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57א(א)(1).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לבטל את הודעת איסור השימוש, או לקבוע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יותר לאיסור השימוש, בתנאים או ללא תנאים, אם התקיימו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אחרות מאלה האמורות בסעיף קטן (ב), המצדיקות זאת.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פניה לבית</w:t>
                        </w:r>
                      </w:p>
                      <w:p w:rsidR="00AA5875" w:rsidRPr="004159F0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</w:tr>
                  <w:tr w:rsidR="00AA5875" w:rsidRPr="004159F0">
                    <w:trPr>
                      <w:jc w:val="right"/>
                    </w:trPr>
                    <w:tc>
                      <w:tcPr>
                        <w:tcW w:w="4114" w:type="pct"/>
                      </w:tcPr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57ג. (א) הורשע אדם בעבירה מן העבירות המנויות בתוספת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השביעית, רשאי בית המשפט, בנוסף לכל עונש אחר, להורות בצו על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שימוש ברכב שבו נעברה העבירה (להלן - צו איסור שימוש)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עד 60 ימים, ובלבד שהעבירה אינה עבירת קנס; בצו איסור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יקבע בית המשפט את המקום שבו יועמד הרכב במהלך תקופת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השימוש.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לא יתן צו איסור שימוש ברכב לפני שניתנה לבעל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הזדמנות להשמיע את טענותיו לענין איסור השימוש.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יתן צו איסור שימוש ברכב אם הוכיח בעליו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הרכב נלקח ממנו בלי ידיעתו ובלי הסכמתו;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שנהג ברכב פעל בניגוד להוראותיו, והוא עשה כל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שביכולתו כדי למנוע ביצוע עבירה כאמור בסעיף קטן (א).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ניתן צו איסור שימוש ברכב לפי סעיף זה, ימציא בעל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את רשיון הרכב לרשות שנקבעה בתקנות, תוך התקופה</w:t>
                        </w:r>
                      </w:p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בהן;</w:t>
                        </w:r>
                      </w:p>
                    </w:tc>
                    <w:tc>
                      <w:tcPr>
                        <w:tcW w:w="886" w:type="pct"/>
                      </w:tcPr>
                      <w:p w:rsidR="00AA5875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שיפוטי</w:t>
                        </w:r>
                      </w:p>
                      <w:p w:rsidR="00AA5875" w:rsidRPr="004159F0" w:rsidRDefault="00AA58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שימוש ברכב</w:t>
                        </w:r>
                      </w:p>
                    </w:tc>
                  </w:tr>
                </w:tbl>
                <w:p w:rsidR="00AA5875" w:rsidRDefault="00AA58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A5875" w:rsidRDefault="00AA5875">
      <w:pPr>
        <w:rPr>
          <w:rtl/>
        </w:rPr>
      </w:pPr>
      <w:r>
        <w:rPr>
          <w:rtl/>
        </w:rPr>
        <w:br w:type="page"/>
      </w:r>
    </w:p>
    <w:p w:rsidR="00AA5875" w:rsidRDefault="00000000">
      <w:pPr>
        <w:rPr>
          <w:rtl/>
        </w:rPr>
      </w:pPr>
      <w:r>
        <w:pict>
          <v:shape id="_x0000_s47445" o:spid="_x0000_s1032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7445" inset="0,0,0,0">
              <w:txbxContent>
                <w:p w:rsidR="00AA5875" w:rsidRDefault="00AA5875">
                  <w:r>
                    <w:rPr>
                      <w:rtl/>
                    </w:rPr>
                    <w:t>182                                         ספר החוקים 1629                   ה' בתמוז התשנ"ז 10.07.1997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46" o:spid="_x0000_s1033" type="#_x0000_t202" style="position:absolute;left:0;text-align:left;margin-left:91.4pt;margin-top:715.05pt;width:204.75pt;height:19pt;z-index:15;mso-position-horizontal-relative:page;mso-position-vertical-relative:page" stroked="f">
            <v:textbox style="mso-next-textbox:#_x0000_s47446" inset="0,0,0,0">
              <w:txbxContent>
                <w:p w:rsidR="00AA5875" w:rsidRDefault="00AA58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447" o:spid="_x0000_s1034" type="#_x0000_t202" style="position:absolute;left:0;text-align:left;margin-left:113pt;margin-top:622pt;width:79.2pt;height:30.5pt;z-index:14;mso-position-horizontal-relative:page;mso-position-vertical-relative:page" stroked="f">
            <v:textbox style="mso-next-textbox:#_x0000_s47447" inset="0,0,0,0">
              <w:txbxContent>
                <w:p w:rsidR="00AA5875" w:rsidRDefault="00AA5875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לוי</w:t>
                  </w:r>
                </w:p>
                <w:p w:rsidR="00AA5875" w:rsidRDefault="00AA5875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48" o:spid="_x0000_s1035" type="#_x0000_t202" style="position:absolute;left:0;text-align:left;margin-left:202.1pt;margin-top:648.3pt;width:95.65pt;height:32.25pt;z-index:13;mso-position-horizontal-relative:page;mso-position-vertical-relative:page" stroked="f">
            <v:textbox style="mso-next-textbox:#_x0000_s47448" inset="0,0,0,0">
              <w:txbxContent>
                <w:p w:rsidR="00AA5875" w:rsidRDefault="00AA5875">
                  <w:pPr>
                    <w:pStyle w:val="OCRStyle3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A5875" w:rsidRDefault="00AA5875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49" o:spid="_x0000_s1036" type="#_x0000_t202" style="position:absolute;left:0;text-align:left;margin-left:291.2pt;margin-top:621.2pt;width:101.4pt;height:26.35pt;z-index:12;mso-position-horizontal-relative:page;mso-position-vertical-relative:page" stroked="f">
            <v:textbox style="mso-next-textbox:#_x0000_s47449" inset="0,0,0,0">
              <w:txbxContent>
                <w:p w:rsidR="00AA5875" w:rsidRDefault="00AA5875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A5875" w:rsidRDefault="00AA5875">
                  <w:pPr>
                    <w:pStyle w:val="OCRStyle3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0" o:spid="_x0000_s1037" type="#_x0000_t202" style="position:absolute;left:0;text-align:left;margin-left:396.75pt;margin-top:644.95pt;width:81.6pt;height:28.9pt;z-index:11;mso-position-horizontal-relative:page;mso-position-vertical-relative:page" stroked="f">
            <v:textbox style="mso-next-textbox:#_x0000_s47450" inset="0,0,0,0">
              <w:txbxContent>
                <w:p w:rsidR="00AA5875" w:rsidRDefault="00AA5875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A5875" w:rsidRDefault="00AA5875">
                  <w:pPr>
                    <w:pStyle w:val="OCRStyle3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1" o:spid="_x0000_s1038" type="#_x0000_t202" style="position:absolute;left:0;text-align:left;margin-left:96.35pt;margin-top:535.25pt;width:465.3pt;height:80pt;z-index:10;mso-position-horizontal-relative:page;mso-position-vertical-relative:page" stroked="f">
            <v:textbox style="mso-next-textbox:#_x0000_s474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60"/>
                  </w:tblGrid>
                  <w:tr w:rsidR="00AA5875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עבירה לפי תקנה 85(א)(5) לתקנות, לענין הובלת מטען ברכב מסחרי, כשהמשקל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של הרכב והמטען המובל בו עולים על המשקל הכולל המותר לפי רשיון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5875" w:rsidRPr="00AA5875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חוק זה ארבעה חודשים מיום פרסומו.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A5875" w:rsidRDefault="00AA58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7452" o:spid="_x0000_s1039" type="#_x0000_t202" style="position:absolute;left:0;text-align:left;margin-left:230.8pt;margin-top:503.95pt;width:121.35pt;height:29.7pt;z-index:9;mso-position-horizontal-relative:page;mso-position-vertical-relative:page" stroked="f">
            <v:textbox style="mso-next-textbox:#_x0000_s47452" inset="0,0,0,0">
              <w:txbxContent>
                <w:p w:rsidR="00AA5875" w:rsidRDefault="00AA5875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"תוספת שביעית</w:t>
                  </w:r>
                </w:p>
                <w:p w:rsidR="00AA5875" w:rsidRPr="00AA5875" w:rsidRDefault="00AA5875">
                  <w:pPr>
                    <w:pStyle w:val="OCRStyle3"/>
                    <w:ind w:left="673"/>
                  </w:pPr>
                  <w:r>
                    <w:rPr>
                      <w:rtl/>
                    </w:rPr>
                    <w:t>(סעיף 57ג)</w:t>
                  </w:r>
                </w:p>
              </w:txbxContent>
            </v:textbox>
            <w10:wrap anchorx="page" anchory="page"/>
          </v:shape>
        </w:pict>
      </w:r>
      <w:r>
        <w:pict>
          <v:shape id="_x0000_s47453" o:spid="_x0000_s1040" type="#_x0000_t202" style="position:absolute;left:0;text-align:left;margin-left:96.35pt;margin-top:60.85pt;width:463.7pt;height:441.55pt;z-index:8;mso-position-horizontal-relative:page;mso-position-vertical-relative:page" stroked="f">
            <v:textbox style="mso-next-textbox:#_x0000_s474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1"/>
                    <w:gridCol w:w="1271"/>
                    <w:gridCol w:w="1349"/>
                  </w:tblGrid>
                  <w:tr w:rsidR="00AA5875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איסור השימוש יחל במועד מתן הצו, אם לא קבע בית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מועד אחר, ואולם בחישוב התקופה הנקובה בצו איסור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לא תבוא במנין התקופה שחלפה עד מסירת רשיון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הרבב כאמור בפסקה (ו).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ביקש בעל הרכב לשנות את מקום העמדתו של הרכב במהלך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איסור השימוש, לא יעשה כן אלא לאחר קבלת אישור בכתב מקצין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משטרה.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ניתנה לבעל הרכב הזדמנות להשמיע את טענותיו באמור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רשאי הוא לפנות לבית המשפט, בבקשה לעיון חוזר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בהחלטתו.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0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5875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57ד. הוצאות בשל העמדת רכב כתקופת איסור שימוש לפי סעיפים 57א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57ג, ישולמו על ידי בעל הרכב, וניתן לעכב את הרכב עד שישולמו;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המוסמך לדון בעבירות תעבורה, רשאי, לפי בקשה שתוגש לו,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כל הוראה שתיראה לו בענינים האמורים בסעיף זה, ובלבד שנתן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למי שעלול להיפגע מהחלטתו להשמיע את טענותיו.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בשל</w:t>
                        </w:r>
                      </w:p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רכב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5875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57ה. על החלטת בית המשפט לפי סעיפים 57ב עד 57ד ניתן לערער לבית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שידון בערעור בדן יחיד.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5875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57ו. לצורך פיקוח על ביצוע הודעת איסור שימוש או צו איסור שימוש,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לפי הוראות סעיפים 57א עד 57ג, תהיה לשוטר סמבות כניסה לכל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אמור הרכב להימצא או שיש לו יסוד סביר להניח שהרכב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בו.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כניסה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5875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57ז. רשיון הרבב יוחזר לבעל הרכב בתום תקופת איסור השימוש, או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ביטול איסור השימוש, או אם זוכה הנאשם מעבירה שבשלה ניתנו</w:t>
                        </w:r>
                      </w:p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איסור השימוש או צו איסור השימוש, כפי שייקבע בתקנות.'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רשיון</w:t>
                        </w:r>
                      </w:p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A5875" w:rsidRPr="00AA5875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67 לפקודה, אחרי 'מרשה להשתמש בו'' יבוא ''או מי שנהג או הרשה לאחר</w:t>
                        </w:r>
                      </w:p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לנהוג ברכב בניגוד להודעת איסור שימוש או צו איסור שימוש'.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AA5875" w:rsidRPr="00AA5875">
                    <w:trPr>
                      <w:jc w:val="right"/>
                    </w:trPr>
                    <w:tc>
                      <w:tcPr>
                        <w:tcW w:w="4200" w:type="pct"/>
                        <w:gridSpan w:val="2"/>
                      </w:tcPr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התוספת השישית לפקודה יבוא:</w:t>
                        </w:r>
                      </w:p>
                    </w:tc>
                    <w:tc>
                      <w:tcPr>
                        <w:tcW w:w="800" w:type="pct"/>
                      </w:tcPr>
                      <w:p w:rsid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התוספת</w:t>
                        </w:r>
                      </w:p>
                      <w:p w:rsidR="00AA5875" w:rsidRPr="00AA5875" w:rsidRDefault="00AA58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השביעית</w:t>
                        </w:r>
                      </w:p>
                    </w:tc>
                  </w:tr>
                </w:tbl>
                <w:p w:rsidR="00AA5875" w:rsidRDefault="00AA58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559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E18557-E873-4B08-B20F-B1C2796C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559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159F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A58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21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2008-04-07T10:26:00Z</dcterms:created>
  <dcterms:modified xsi:type="dcterms:W3CDTF">2008-04-07T10:26:00Z</dcterms:modified>
</cp:coreProperties>
</file>