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62CF" w:rsidRDefault="00A462CF">
      <w:pPr>
        <w:rPr>
          <w:rtl/>
        </w:rPr>
      </w:pPr>
    </w:p>
    <w:p w:rsidR="00A462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542" inset="0,0,0,0">
              <w:txbxContent>
                <w:p w:rsidR="00707A1E" w:rsidRDefault="00707A1E">
                  <w:r>
                    <w:rPr>
                      <w:rtl/>
                    </w:rPr>
                    <w:t>170                                         ספר החוקים 1626                 כ"א בסיוון התשנ"ז 26.06.1997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43" o:spid="_x0000_s1026" type="#_x0000_t202" style="position:absolute;left:0;text-align:left;margin-left:82.7pt;margin-top:643.3pt;width:403.5pt;height:91.5pt;z-index:3;mso-position-horizontal-relative:page;mso-position-vertical-relative:page" stroked="f">
            <v:textbox style="mso-next-textbox:#_x0000_s47543" inset="0,0,0,0">
              <w:txbxContent>
                <w:p w:rsidR="00707A1E" w:rsidRDefault="00707A1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בסיון התשנ"ז (6 ו ביוני 1997); הצעת החוק ודברי הסבר פורסמו בהצעות חוק</w:t>
                  </w:r>
                </w:p>
                <w:p w:rsidR="00707A1E" w:rsidRDefault="00707A1E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2595, מיום א- באדר ב' התשנ'ז (10 במרס 1997), עמ' 225.</w:t>
                  </w:r>
                </w:p>
                <w:p w:rsidR="00707A1E" w:rsidRDefault="00707A1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254; התשנ''ד, עמ' .544</w:t>
                  </w:r>
                </w:p>
                <w:p w:rsidR="00707A1E" w:rsidRPr="00A462CF" w:rsidRDefault="00707A1E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2 ס"ח התשכ"ט, עמ' 44 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44" o:spid="_x0000_s1027" type="#_x0000_t202" style="position:absolute;left:0;text-align:left;margin-left:89.45pt;margin-top:93.05pt;width:457.8pt;height:549.45pt;z-index:2;mso-position-horizontal-relative:page;mso-position-vertical-relative:page" stroked="f">
            <v:textbox style="mso-next-textbox:#_x0000_s475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1"/>
                    <w:gridCol w:w="1332"/>
                    <w:gridCol w:w="1270"/>
                  </w:tblGrid>
                  <w:tr w:rsidR="00707A1E" w:rsidRPr="00A462C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ניירות ערך, התשכ"ח-1968 1 (להלן - החוק העיקרי), אחרי סעיף 6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707A1E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חבר הרשות לא יקבל מהרשות שכר בעד שירותיו.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לשלם לחבריה גמול עבור השתתפות בישיבות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בשיעורים ולפי כללים שיקבע שר האוצר.-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"גמול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7A1E" w:rsidRPr="00A462C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10 לחוק העיקרי יבוא.-</w:t>
                        </w:r>
                      </w:p>
                    </w:tc>
                    <w:tc>
                      <w:tcPr>
                        <w:tcW w:w="763" w:type="pct"/>
                        <w:vMerge w:val="restar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 עד סוג</w:t>
                        </w:r>
                      </w:p>
                    </w:tc>
                  </w:tr>
                  <w:tr w:rsidR="00707A1E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0וא. (א) עובד הרשות שטיפל אגב מילוי תפקידיו ברשות בענין פלוני,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ייצג אדם באותו ענין כלפי הרשות אחרי פרישתו מעבודתו ברשות.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הרשות שפרש לא ייצג אדם לפני עובד הרשות שהיה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כפוף לו ערב פרישתו ולא יבקש ממנו להעניק לו זכות, בין לעצמו ובין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עסקו, בין בהסכם ובין כמעשה של רשות, כשההענקה מסורה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לשיקול דעתו של אותו עובד, והכל אם טרם חלפה שנה מהיום שבו פסקו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הכפיפות.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הרשות שפרש לא יקבל, במשך שלושה חודשים מיום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פרישתו, זכות או טובת הנאה מאדם שעמד בקשרים עם הרשות במשך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ליום פרישתו של העובד, אלא אם כן קיבל היתר לכך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מיושב ראש הרשות; יושב ראש הרשות ידווח על מתן היתר כאמור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למליאת הרשות.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 הרשות שפרש לא יהיה רשאי להיות בעל ענין בחבר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בורסה מכוח החזקת מניות כל עור לא עברה שנה מיום פרישתו, ולא יהיה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להיות עובד של חבר בורסה בל עוד לא עברו שלושה חודשים מיום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פרישתו, אלא אם כן קיבל היתר לכך מהועדה למתן היתרים שהוקמה לפי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וו לחוק שירות הציבור (הגבלות לאחר פרישה), התשכ"ט-1969 2,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לענין זה הוראות סעיפים 12 ו-13 לחוק האמור.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עובד הרשות שפרש לא יהיה רשאי לעסוק במסחר בניירות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הן על חשבונו והן על חשבון אחרים, כל עוד לא עברו שלושה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פרישתו, אלא אם כן קיבל היתר לכך מיושב ראש הרשות;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 ידווח על מתן היתר באמור למליאת הרשות.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"הגבלות לאחר</w:t>
                        </w:r>
                      </w:p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763" w:type="pct"/>
                        <w:vMerge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7A1E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סוב. שר המשפטים, בהתייעצות עם שר האוצר, ובאישור ועדת החוקה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רשאי -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הוראות בדבר הגבלות מיוחדות שיחולו על עובדי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שהוסמכו לפי סעיפים 56א עד 56ג לאחר פרישתם;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ההגבלות המיוחדות ייקבעו בשים לב לסמכויות ולנושאים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הכרוכים בתפקידם;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להסמיך אדם להתיר לעובד כאמור בפסקה (ו) שפרש</w:t>
                        </w:r>
                      </w:p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לחרוג מההגבלות המיוחדות.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07A1E" w:rsidRPr="00A462CF" w:rsidRDefault="00707A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מיוחדות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07A1E" w:rsidRDefault="00707A1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07A1E" w:rsidRDefault="00707A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45" o:spid="_x0000_s1028" type="#_x0000_t202" style="position:absolute;left:0;text-align:left;margin-left:152.8pt;margin-top:67.5pt;width:269.85pt;height:21.4pt;z-index:1;mso-position-horizontal-relative:page;mso-position-vertical-relative:page" stroked="f">
            <v:textbox style="mso-next-textbox:#_x0000_s47545" inset="0,0,0,0">
              <w:txbxContent>
                <w:p w:rsidR="00707A1E" w:rsidRPr="00A462CF" w:rsidRDefault="00707A1E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מס' 15), התשנ"ז-1997*</w:t>
                  </w:r>
                </w:p>
              </w:txbxContent>
            </v:textbox>
            <w10:wrap anchorx="page" anchory="page"/>
          </v:shape>
        </w:pict>
      </w:r>
    </w:p>
    <w:p w:rsidR="00867949" w:rsidRDefault="00867949">
      <w:pPr>
        <w:rPr>
          <w:rtl/>
        </w:rPr>
      </w:pPr>
      <w:r>
        <w:rPr>
          <w:rtl/>
        </w:rPr>
        <w:br w:type="page"/>
      </w:r>
    </w:p>
    <w:p w:rsidR="00867949" w:rsidRDefault="00000000">
      <w:pPr>
        <w:rPr>
          <w:rtl/>
        </w:rPr>
      </w:pPr>
      <w:r>
        <w:pict>
          <v:shape id="_x0000_s4754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546" inset="0,0,0,0">
              <w:txbxContent>
                <w:p w:rsidR="00707A1E" w:rsidRDefault="00707A1E">
                  <w:r>
                    <w:rPr>
                      <w:rtl/>
                    </w:rPr>
                    <w:t>171                                         ספר החוקים 1626                 כ"א בסיוון התשנ"ז 26.06.1997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47" o:spid="_x0000_s1030" type="#_x0000_t202" style="position:absolute;left:0;text-align:left;margin-left:328.65pt;margin-top:714.8pt;width:210.3pt;height:24.75pt;z-index:10;mso-position-horizontal-relative:page;mso-position-vertical-relative:page" stroked="f">
            <v:textbox style="mso-next-textbox:#_x0000_s47547" inset="0,0,0,0">
              <w:txbxContent>
                <w:p w:rsidR="00707A1E" w:rsidRDefault="00707A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548" o:spid="_x0000_s1031" type="#_x0000_t202" style="position:absolute;left:0;text-align:left;margin-left:250.2pt;margin-top:293.25pt;width:96.6pt;height:28.9pt;z-index:9;mso-position-horizontal-relative:page;mso-position-vertical-relative:page" stroked="f">
            <v:textbox style="mso-next-textbox:#_x0000_s47548" inset="0,0,0,0">
              <w:txbxContent>
                <w:p w:rsidR="00707A1E" w:rsidRDefault="00707A1E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07A1E" w:rsidRDefault="00707A1E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49" o:spid="_x0000_s1032" type="#_x0000_t202" style="position:absolute;left:0;text-align:left;margin-left:444.85pt;margin-top:291.65pt;width:81pt;height:27.9pt;z-index:8;mso-position-horizontal-relative:page;mso-position-vertical-relative:page" stroked="f">
            <v:textbox style="mso-next-textbox:#_x0000_s47549" inset="0,0,0,0">
              <w:txbxContent>
                <w:p w:rsidR="00707A1E" w:rsidRDefault="00707A1E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07A1E" w:rsidRDefault="00707A1E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0" o:spid="_x0000_s1033" type="#_x0000_t202" style="position:absolute;left:0;text-align:left;margin-left:148.85pt;margin-top:260.2pt;width:123.55pt;height:28.1pt;z-index:7;mso-position-horizontal-relative:page;mso-position-vertical-relative:page" stroked="f">
            <v:textbox style="mso-next-textbox:#_x0000_s47550" inset="0,0,0,0">
              <w:txbxContent>
                <w:p w:rsidR="00707A1E" w:rsidRDefault="00707A1E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07A1E" w:rsidRDefault="00707A1E">
                  <w:pPr>
                    <w:pStyle w:val="OCRStyle2"/>
                    <w:ind w:left="7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1" o:spid="_x0000_s1034" type="#_x0000_t202" style="position:absolute;left:0;text-align:left;margin-left:337.75pt;margin-top:261.15pt;width:107.1pt;height:30.5pt;z-index:6;mso-position-horizontal-relative:page;mso-position-vertical-relative:page" stroked="f">
            <v:textbox style="mso-next-textbox:#_x0000_s47551" inset="0,0,0,0">
              <w:txbxContent>
                <w:p w:rsidR="00707A1E" w:rsidRDefault="00707A1E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07A1E" w:rsidRDefault="00707A1E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2" o:spid="_x0000_s1035" type="#_x0000_t202" style="position:absolute;left:0;text-align:left;margin-left:88.45pt;margin-top:59.8pt;width:448.05pt;height:197.2pt;z-index:5;mso-position-horizontal-relative:page;mso-position-vertical-relative:page" stroked="f">
            <v:textbox style="mso-next-textbox:#_x0000_s4755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5862"/>
                    <w:gridCol w:w="1170"/>
                  </w:tblGrid>
                  <w:tr w:rsidR="00707A1E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7" w:type="pct"/>
                      </w:tcPr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סוג. (א) מי שהוסמך לתת היתר לפי סעיפים סוא או סוב רשאי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להתנותו בתנאים.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היתר לפי סעיפים 0וא או סוב אלא אם כן נוכח נותן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כי אין בפעולה שלגביה התבקש ההיתר משום פגיעה בטוהר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המידות.'</w:t>
                        </w:r>
                      </w:p>
                    </w:tc>
                    <w:tc>
                      <w:tcPr>
                        <w:tcW w:w="718" w:type="pct"/>
                      </w:tcPr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היתר</w:t>
                        </w:r>
                      </w:p>
                    </w:tc>
                  </w:tr>
                  <w:tr w:rsidR="00707A1E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53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53 לחוק העיקרי, אחרי סעיף קטן (ב) יבוא: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'(בו) מי שעשה אחד מאלה, דינו - מאסר ששה חודשים: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הפר הוראה מהוראות סעיף 10א;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הגבלה מההגבלות המיוחדות שנקבעו לפי סעיף סוב;</w:t>
                        </w:r>
                      </w:p>
                      <w:p w:rsidR="00707A1E" w:rsidRDefault="00707A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 תנאי שנקבע בהיתר לפי סעיפים סוא עד סוג.'</w:t>
                        </w:r>
                      </w:p>
                    </w:tc>
                  </w:tr>
                </w:tbl>
                <w:p w:rsidR="00707A1E" w:rsidRDefault="00707A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07A1E" w:rsidRDefault="00707A1E">
      <w:pPr>
        <w:rPr>
          <w:rtl/>
        </w:rPr>
      </w:pPr>
      <w:r>
        <w:rPr>
          <w:rtl/>
        </w:rPr>
        <w:br w:type="page"/>
      </w:r>
    </w:p>
    <w:p w:rsidR="00707A1E" w:rsidRDefault="00000000">
      <w:pPr>
        <w:rPr>
          <w:rtl/>
        </w:rPr>
      </w:pPr>
      <w:r>
        <w:pict>
          <v:shape id="_x0000_s4755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553" inset="0,0,0,0">
              <w:txbxContent>
                <w:p w:rsidR="00707A1E" w:rsidRDefault="00707A1E">
                  <w:r>
                    <w:rPr>
                      <w:rtl/>
                    </w:rPr>
                    <w:t>172                                         ספר החוקים 1626                 כ"א בסיוון התשנ"ז 26.06.1997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4" o:spid="_x0000_s1037" type="#_x0000_t202" style="position:absolute;left:0;text-align:left;margin-left:83.4pt;margin-top:714.9pt;width:245.1pt;height:26.55pt;z-index:12;mso-position-horizontal-relative:page;mso-position-vertical-relative:page" stroked="f">
            <v:textbox style="mso-next-textbox:#_x0000_s47554" inset="0,0,0,0">
              <w:txbxContent>
                <w:p w:rsidR="00707A1E" w:rsidRDefault="00707A1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62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53A5C7-1C87-4625-8163-B73C864F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62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6794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07A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2008-04-07T10:25:00Z</dcterms:created>
  <dcterms:modified xsi:type="dcterms:W3CDTF">2008-04-07T10:26:00Z</dcterms:modified>
</cp:coreProperties>
</file>