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4ADE" w:rsidRDefault="00594ADE">
      <w:pPr>
        <w:rPr>
          <w:rtl/>
        </w:rPr>
      </w:pPr>
    </w:p>
    <w:p w:rsidR="00594A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59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7591" inset="0,0,0,0">
              <w:txbxContent>
                <w:p w:rsidR="009B7BF1" w:rsidRDefault="009B7BF1">
                  <w:r>
                    <w:rPr>
                      <w:rtl/>
                    </w:rPr>
                    <w:t>96                                          ספר החוקים 1619                כ"ג באדר ב' התשנ"ז 01.04.1997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92" o:spid="_x0000_s1026" type="#_x0000_t202" style="position:absolute;left:0;text-align:left;margin-left:96.55pt;margin-top:721.95pt;width:201.75pt;height:20.8pt;z-index:4;mso-position-horizontal-relative:page;mso-position-vertical-relative:page" stroked="f">
            <v:textbox style="mso-next-textbox:#_x0000_s47592" inset="0,0,0,0">
              <w:txbxContent>
                <w:p w:rsidR="009B7BF1" w:rsidRDefault="009B7B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93" o:spid="_x0000_s1027" type="#_x0000_t202" style="position:absolute;left:0;text-align:left;margin-left:96.55pt;margin-top:660.75pt;width:388.5pt;height:48.9pt;z-index:3;mso-position-horizontal-relative:page;mso-position-vertical-relative:page" stroked="f">
            <v:textbox style="mso-next-textbox:#_x0000_s47593" inset="0,0,0,0">
              <w:txbxContent>
                <w:p w:rsidR="009B7BF1" w:rsidRDefault="009B7BF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ָ נתקבל בכנסת ביום ט'ז באדר ב' התשנ"ז (25 במרס  1997); הצעת החוק ודברי הסבר פורסמו בהצעת חוק</w:t>
                  </w:r>
                </w:p>
                <w:p w:rsidR="009B7BF1" w:rsidRDefault="009B7BF1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2480, מיום כ"ד בטבת התשנ"ו (16 בינואר 1996), עמ' 423.</w:t>
                  </w:r>
                </w:p>
                <w:p w:rsidR="009B7BF1" w:rsidRPr="00594ADE" w:rsidRDefault="009B7BF1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י דיני מדינת ישראל, נוסח חדש 7, עמ' 173; התשנ"ו, עמ' .579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94" o:spid="_x0000_s1028" type="#_x0000_t202" style="position:absolute;left:0;text-align:left;margin-left:97.55pt;margin-top:396.6pt;width:460.15pt;height:258.4pt;z-index:2;mso-position-horizontal-relative:page;mso-position-vertical-relative:page" stroked="f">
            <v:textbox style="mso-next-textbox:#_x0000_s475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3"/>
                    <w:gridCol w:w="1123"/>
                    <w:gridCol w:w="1390"/>
                  </w:tblGrid>
                  <w:tr w:rsidR="009B7BF1" w:rsidRPr="00594ADE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9B7BF1" w:rsidRDefault="009B7BF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התעבורה1 (להלן - הפקודה), בסעיף 27ב -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(א) ואחרי "העמידו או החנהו כאמור'' יבוא ''או אם הוכיח למי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 את החזקה ברכב (להלן - המחזיק)'';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הוכיח בעל הרכב למי מסר את החזקה ברכב תחול החזקה האמורה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על המחזיק.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הוכיח המחזיק כי מסר את החזקה ברכב לאדם אחר, תחול החזקה האמורה</w:t>
                        </w:r>
                      </w:p>
                      <w:p w:rsidR="009B7BF1" w:rsidRPr="00594ADE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על אותו אדם.''</w:t>
                        </w:r>
                      </w:p>
                    </w:tc>
                    <w:tc>
                      <w:tcPr>
                        <w:tcW w:w="831" w:type="pct"/>
                      </w:tcPr>
                      <w:p w:rsidR="009B7BF1" w:rsidRPr="00594ADE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 2ב</w:t>
                        </w:r>
                      </w:p>
                    </w:tc>
                  </w:tr>
                  <w:tr w:rsidR="009B7BF1" w:rsidRPr="00594ADE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9B7BF1" w:rsidRPr="00594ADE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47 לפקודה יבוא.-</w:t>
                        </w:r>
                      </w:p>
                    </w:tc>
                    <w:tc>
                      <w:tcPr>
                        <w:tcW w:w="831" w:type="pct"/>
                      </w:tcPr>
                      <w:p w:rsidR="009B7BF1" w:rsidRPr="00594ADE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47</w:t>
                        </w:r>
                      </w:p>
                    </w:tc>
                  </w:tr>
                  <w:tr w:rsidR="009B7BF1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בסעיף זה, ''קצין משטרה'' - קצין משטרה בדרגת מפקח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ומעלה.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לשוטר יסוד סביר להניח כי נהג עבר לעיניו עבירה מן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המפורטות בתוספת הרביעית, או כי בשל עבירה שעבר הנהג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אירעה תאונת דרכים שבה נהרג אדם או נחבל, או ניזוק רכוש, רשאי</w:t>
                        </w:r>
                      </w:p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השוטר לדרוש מהנהג להילוות אליו אל קצין משטרה או ליטול ממנו את</w:t>
                        </w:r>
                      </w:p>
                      <w:p w:rsidR="009B7BF1" w:rsidRPr="00594ADE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הנהיגה שלו.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-פסילה בידי</w:t>
                        </w:r>
                      </w:p>
                      <w:p w:rsidR="009B7BF1" w:rsidRPr="00594ADE" w:rsidRDefault="009B7B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משטרה</w:t>
                        </w:r>
                      </w:p>
                    </w:tc>
                    <w:tc>
                      <w:tcPr>
                        <w:tcW w:w="831" w:type="pct"/>
                      </w:tcPr>
                      <w:p w:rsidR="009B7BF1" w:rsidRDefault="009B7B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B7BF1" w:rsidRDefault="009B7B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95" o:spid="_x0000_s1029" type="#_x0000_t202" style="position:absolute;left:0;text-align:left;margin-left:136.15pt;margin-top:367.5pt;width:314.05pt;height:26.35pt;z-index:1;mso-position-horizontal-relative:page;mso-position-vertical-relative:page" stroked="f">
            <v:textbox style="mso-next-textbox:#_x0000_s47595" inset="0,0,0,0">
              <w:txbxContent>
                <w:p w:rsidR="009B7BF1" w:rsidRPr="00594ADE" w:rsidRDefault="009B7BF1">
                  <w:pPr>
                    <w:pStyle w:val="OCRStyle1"/>
                    <w:ind w:left="45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41), התשנ"ז-1997*</w:t>
                  </w:r>
                </w:p>
              </w:txbxContent>
            </v:textbox>
            <w10:wrap anchorx="page" anchory="page"/>
          </v:shape>
        </w:pict>
      </w:r>
    </w:p>
    <w:p w:rsidR="008761C1" w:rsidRDefault="008761C1">
      <w:pPr>
        <w:rPr>
          <w:rtl/>
        </w:rPr>
      </w:pPr>
      <w:r>
        <w:rPr>
          <w:rtl/>
        </w:rPr>
        <w:br w:type="page"/>
      </w:r>
    </w:p>
    <w:p w:rsidR="008761C1" w:rsidRDefault="00000000">
      <w:pPr>
        <w:rPr>
          <w:rtl/>
        </w:rPr>
      </w:pPr>
      <w:r>
        <w:pict>
          <v:shape id="_x0000_s4759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596" inset="0,0,0,0">
              <w:txbxContent>
                <w:p w:rsidR="009B7BF1" w:rsidRDefault="009B7BF1">
                  <w:r>
                    <w:rPr>
                      <w:rtl/>
                    </w:rPr>
                    <w:t>97                                          ספר החוקים 1619                כ"ג באדר ב' התשנ"ז 01.04.1997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97" o:spid="_x0000_s1031" type="#_x0000_t202" style="position:absolute;left:0;text-align:left;margin-left:340pt;margin-top:720.9pt;width:197pt;height:21.8pt;z-index:7;mso-position-horizontal-relative:page;mso-position-vertical-relative:page" stroked="f">
            <v:textbox style="mso-next-textbox:#_x0000_s47597" inset="0,0,0,0">
              <w:txbxContent>
                <w:p w:rsidR="009B7BF1" w:rsidRDefault="009B7BF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598" o:spid="_x0000_s1032" type="#_x0000_t202" style="position:absolute;left:0;text-align:left;margin-left:148.5pt;margin-top:59.95pt;width:339.55pt;height:585.7pt;z-index:6;mso-position-horizontal-relative:page;mso-position-vertical-relative:page" stroked="f">
            <v:textbox style="mso-next-textbox:#_x0000_s47598" inset="0,0,0,0">
              <w:txbxContent>
                <w:p w:rsidR="009B7BF1" w:rsidRDefault="009B7BF1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(ג) (1) נטל השוטר את רשיון הנהיגה כמפורט בסעיף קטן (ב), יתן</w:t>
                  </w:r>
                </w:p>
                <w:p w:rsidR="009B7BF1" w:rsidRDefault="009B7BF1">
                  <w:pPr>
                    <w:pStyle w:val="OCRStyle2"/>
                    <w:ind w:left="1321"/>
                    <w:rPr>
                      <w:rtl/>
                    </w:rPr>
                  </w:pPr>
                  <w:r>
                    <w:rPr>
                      <w:rtl/>
                    </w:rPr>
                    <w:t>לנהג אישור על נטילת הרשיון וזימון להופיע, בתוך שלושה</w:t>
                  </w:r>
                </w:p>
                <w:p w:rsidR="009B7BF1" w:rsidRDefault="009B7BF1">
                  <w:pPr>
                    <w:pStyle w:val="OCRStyle2"/>
                    <w:ind w:left="1321"/>
                    <w:rPr>
                      <w:rtl/>
                    </w:rPr>
                  </w:pPr>
                  <w:r>
                    <w:rPr>
                      <w:rtl/>
                    </w:rPr>
                    <w:t>ימים במועד שיקבע, בפני קצין משטרה, לצורך החלטה בדבר</w:t>
                  </w:r>
                </w:p>
                <w:p w:rsidR="009B7BF1" w:rsidRDefault="009B7BF1">
                  <w:pPr>
                    <w:pStyle w:val="OCRStyle2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פסילת רשיון הנהיגה שלו; אישור שניתן כאמור יראו אותו</w:t>
                  </w:r>
                </w:p>
                <w:p w:rsidR="009B7BF1" w:rsidRDefault="009B7BF1">
                  <w:pPr>
                    <w:pStyle w:val="OCRStyle2"/>
                    <w:ind w:left="1321"/>
                    <w:rPr>
                      <w:rtl/>
                    </w:rPr>
                  </w:pPr>
                  <w:r>
                    <w:rPr>
                      <w:rtl/>
                    </w:rPr>
                    <w:t>כרשיון הנהיגה שניטל וזאת עד למועד שנקבע לזימון הנהג</w:t>
                  </w:r>
                </w:p>
                <w:p w:rsidR="009B7BF1" w:rsidRDefault="009B7BF1">
                  <w:pPr>
                    <w:pStyle w:val="OCRStyle2"/>
                    <w:ind w:left="1321"/>
                    <w:rPr>
                      <w:rtl/>
                    </w:rPr>
                  </w:pPr>
                  <w:r>
                    <w:rPr>
                      <w:rtl/>
                    </w:rPr>
                    <w:t>בפני קצין המשטרה.</w:t>
                  </w:r>
                </w:p>
                <w:p w:rsidR="009B7BF1" w:rsidRDefault="009B7BF1">
                  <w:pPr>
                    <w:pStyle w:val="OCRStyle2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(2) בזימון האמור בפסקה (ו) יובהרו תוכנן של הוראות</w:t>
                  </w:r>
                </w:p>
                <w:p w:rsidR="009B7BF1" w:rsidRDefault="009B7BF1">
                  <w:pPr>
                    <w:pStyle w:val="OCRStyle2"/>
                    <w:ind w:left="1321"/>
                    <w:rPr>
                      <w:rtl/>
                    </w:rPr>
                  </w:pPr>
                  <w:r>
                    <w:rPr>
                      <w:rtl/>
                    </w:rPr>
                    <w:t>סעיפים קטנים (ו) ו-(ז), וכן יפורטו בו מקום ומספר טלפון לקבלת</w:t>
                  </w:r>
                </w:p>
                <w:p w:rsidR="009B7BF1" w:rsidRDefault="009B7BF1">
                  <w:pPr>
                    <w:pStyle w:val="OCRStyle2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תוכן החלטתו של קצין המשטרה.</w:t>
                  </w:r>
                </w:p>
                <w:p w:rsidR="009B7BF1" w:rsidRDefault="009B7BF1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(ד) לא נטל השוטר את רשיון הנהיגה כמפורט בסעיף קטן (ב), רשאי</w:t>
                  </w:r>
                </w:p>
                <w:p w:rsidR="009B7BF1" w:rsidRDefault="009B7BF1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הוא לתת לנהג זימון כאמור בסעיף קטן (ג).</w:t>
                  </w:r>
                </w:p>
                <w:p w:rsidR="009B7BF1" w:rsidRDefault="009B7BF1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(ה) היה לקצין משטרה יסוד להניח כי יוגש כתב אישום נגד הנהג</w:t>
                  </w:r>
                </w:p>
                <w:p w:rsidR="009B7BF1" w:rsidRDefault="009B7BF1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שביצע את העבירה לפי סעיף קטן (ב) ינהג כלהלן, לפי הענין:</w:t>
                  </w:r>
                </w:p>
                <w:p w:rsidR="009B7BF1" w:rsidRDefault="009B7BF1">
                  <w:pPr>
                    <w:pStyle w:val="OCRStyle2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(ו) בעבירה שגרמה לתאונת דרכים שבה נהרג אדם - יפסול</w:t>
                  </w:r>
                </w:p>
                <w:p w:rsidR="009B7BF1" w:rsidRDefault="009B7BF1">
                  <w:pPr>
                    <w:pStyle w:val="OCRStyle2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את הנהג מהחזיק ברשיון נהיגה לתקופה של 90 ימים;</w:t>
                  </w:r>
                </w:p>
                <w:p w:rsidR="009B7BF1" w:rsidRDefault="009B7BF1">
                  <w:pPr>
                    <w:pStyle w:val="OCRStyle2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(2) בעבירה שגרמה לתאונת דרכים שבה נחבל אדם או ניזוק</w:t>
                  </w:r>
                </w:p>
                <w:p w:rsidR="009B7BF1" w:rsidRDefault="009B7BF1">
                  <w:pPr>
                    <w:pStyle w:val="OCRStyle2"/>
                    <w:ind w:left="1321"/>
                    <w:rPr>
                      <w:rtl/>
                    </w:rPr>
                  </w:pPr>
                  <w:r>
                    <w:rPr>
                      <w:rtl/>
                    </w:rPr>
                    <w:t>רכוש - רשאי הוא לפסול את הנהג מהחזיק ברשיון נהיגה</w:t>
                  </w:r>
                </w:p>
                <w:p w:rsidR="009B7BF1" w:rsidRDefault="009B7BF1">
                  <w:pPr>
                    <w:pStyle w:val="OCRStyle2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לתקופה של 60 ימים;</w:t>
                  </w:r>
                </w:p>
                <w:p w:rsidR="009B7BF1" w:rsidRDefault="009B7BF1">
                  <w:pPr>
                    <w:pStyle w:val="OCRStyle2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(3) בעבירה מן המפורטות בתוספת הרביעית - רשאי הוא</w:t>
                  </w:r>
                </w:p>
                <w:p w:rsidR="009B7BF1" w:rsidRDefault="009B7BF1">
                  <w:pPr>
                    <w:pStyle w:val="OCRStyle2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לפסול את הנהג מהחזיק ברשיון נהיגה לתקופה של 30 ימים.</w:t>
                  </w:r>
                </w:p>
                <w:p w:rsidR="009B7BF1" w:rsidRDefault="009B7BF1">
                  <w:pPr>
                    <w:pStyle w:val="OCRStyle2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(ו) לא הופיע הנהג בפני קצין המשטרה במועד שזומן אליו כאמור</w:t>
                  </w:r>
                </w:p>
                <w:p w:rsidR="009B7BF1" w:rsidRDefault="009B7BF1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בסעיף קטן (ג), רשאי קצין המשטרה לפסול אותו מהחזיק ברשיון הנהיגה</w:t>
                  </w:r>
                </w:p>
                <w:p w:rsidR="009B7BF1" w:rsidRDefault="009B7BF1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לפי סעיף קטן (ה) גם בהעדרו, ומאותו מועד יראו את הנהג כמי שהודע לו</w:t>
                  </w:r>
                </w:p>
                <w:p w:rsidR="009B7BF1" w:rsidRDefault="009B7BF1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שנפסל מהחזיק רשיון נהיגה ויחולו עליו הוראות סעיף 67.</w:t>
                  </w:r>
                </w:p>
                <w:p w:rsidR="009B7BF1" w:rsidRDefault="009B7BF1">
                  <w:pPr>
                    <w:pStyle w:val="OCRStyle2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(ז) פסילה שהטיל קצין משטרה על הנהג מהחזיק רשיון נהיגה תחל</w:t>
                  </w:r>
                </w:p>
                <w:p w:rsidR="009B7BF1" w:rsidRDefault="009B7BF1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ממתן ההחלטה.</w:t>
                  </w:r>
                </w:p>
                <w:p w:rsidR="009B7BF1" w:rsidRDefault="009B7BF1">
                  <w:pPr>
                    <w:pStyle w:val="OCRStyle2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(ח) בחישוב תקופת הפסילה לא תבוא במנין התקופה שחלפה עד</w:t>
                  </w:r>
                </w:p>
                <w:p w:rsidR="009B7BF1" w:rsidRDefault="009B7BF1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מסירת הרשיון לרשות שנקבעה לכך בתקנות ובדרך שנקבעה.</w:t>
                  </w:r>
                </w:p>
                <w:p w:rsidR="009B7BF1" w:rsidRDefault="009B7BF1">
                  <w:pPr>
                    <w:pStyle w:val="OCRStyle2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(ט) בית המשפט המוסמך לדון בעבירה, שבשלה נפסל הרשיון לפי</w:t>
                  </w:r>
                </w:p>
                <w:p w:rsidR="009B7BF1" w:rsidRDefault="009B7BF1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סעיף קטן (ה), רשאי להאריך את הפסילה עד לגמר בירור הדין או לבטל</w:t>
                  </w:r>
                </w:p>
                <w:p w:rsidR="009B7BF1" w:rsidRDefault="009B7BF1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אותה, בתנאים או ללא תנאים.</w:t>
                  </w:r>
                </w:p>
                <w:p w:rsidR="009B7BF1" w:rsidRDefault="009B7BF1">
                  <w:pPr>
                    <w:pStyle w:val="OCRStyle2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(י) על אף האמור בסעיף קטן (ה)(2) ו-(3), רשאית רשות הרישוי</w:t>
                  </w:r>
                </w:p>
                <w:p w:rsidR="009B7BF1" w:rsidRDefault="009B7BF1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מטעם צבא הגנה לישראל ליתן לאדם שנפסל כאמור באותו סעיף קטן</w:t>
                  </w:r>
                </w:p>
                <w:p w:rsidR="009B7BF1" w:rsidRDefault="009B7BF1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רשיון נהיגה צבאי שעה שהוא משמש בתפקיד צבאי בלבד, אם הרשות</w:t>
                  </w:r>
                </w:p>
                <w:p w:rsidR="009B7BF1" w:rsidRDefault="009B7BF1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משוכנעת כי הדבר דרוש לצורך צבאי דחוף ומוגדר; הוראת סעיף קטן זה</w:t>
                  </w:r>
                </w:p>
                <w:p w:rsidR="009B7BF1" w:rsidRDefault="009B7BF1">
                  <w:pPr>
                    <w:pStyle w:val="OCRStyle2"/>
                    <w:ind w:left="554"/>
                  </w:pPr>
                  <w:r>
                    <w:rPr>
                      <w:rtl/>
                    </w:rPr>
                    <w:t>לא תחול במקרה של תאונה בנסיבות האמורות בסעיף 64א.</w:t>
                  </w:r>
                </w:p>
              </w:txbxContent>
            </v:textbox>
            <w10:wrap anchorx="page" anchory="page"/>
          </v:shape>
        </w:pict>
      </w:r>
    </w:p>
    <w:p w:rsidR="009B7BF1" w:rsidRDefault="009B7BF1">
      <w:pPr>
        <w:rPr>
          <w:rtl/>
        </w:rPr>
      </w:pPr>
      <w:r>
        <w:rPr>
          <w:rtl/>
        </w:rPr>
        <w:br w:type="page"/>
      </w:r>
    </w:p>
    <w:p w:rsidR="009B7BF1" w:rsidRDefault="00000000">
      <w:pPr>
        <w:rPr>
          <w:rtl/>
        </w:rPr>
      </w:pPr>
      <w:r>
        <w:pict>
          <v:shape id="_x0000_s47599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7599" inset="0,0,0,0">
              <w:txbxContent>
                <w:p w:rsidR="009B7BF1" w:rsidRDefault="009B7BF1">
                  <w:r>
                    <w:rPr>
                      <w:rtl/>
                    </w:rPr>
                    <w:t>98                                          ספר החוקים 1619                כ"ג באדר ב' התשנ"ז 01.04.1997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00" o:spid="_x0000_s1034" type="#_x0000_t202" style="position:absolute;left:0;text-align:left;margin-left:87.45pt;margin-top:698.3pt;width:231.85pt;height:40.6pt;z-index:14;mso-position-horizontal-relative:page;mso-position-vertical-relative:page" stroked="f">
            <v:textbox style="mso-next-textbox:#_x0000_s47600" inset="0,0,0,0">
              <w:txbxContent>
                <w:p w:rsidR="009B7BF1" w:rsidRDefault="009B7BF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601" o:spid="_x0000_s1035" type="#_x0000_t202" style="position:absolute;left:0;text-align:left;margin-left:105.25pt;margin-top:111pt;width:81.2pt;height:35.65pt;z-index:13;mso-position-horizontal-relative:page;mso-position-vertical-relative:page" stroked="f">
            <v:textbox style="mso-next-textbox:#_x0000_s47601" inset="0,0,0,0">
              <w:txbxContent>
                <w:p w:rsidR="009B7BF1" w:rsidRDefault="009B7BF1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9B7BF1" w:rsidRDefault="009B7BF1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02" o:spid="_x0000_s1036" type="#_x0000_t202" style="position:absolute;left:0;text-align:left;margin-left:198.7pt;margin-top:139.15pt;width:89.5pt;height:45.35pt;z-index:12;mso-position-horizontal-relative:page;mso-position-vertical-relative:page" stroked="f">
            <v:textbox style="mso-next-textbox:#_x0000_s47602" inset="0,0,0,0">
              <w:txbxContent>
                <w:p w:rsidR="009B7BF1" w:rsidRDefault="009B7BF1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B7BF1" w:rsidRDefault="009B7BF1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03" o:spid="_x0000_s1037" type="#_x0000_t202" style="position:absolute;left:0;text-align:left;margin-left:299.5pt;margin-top:113.8pt;width:84.95pt;height:32.85pt;z-index:11;mso-position-horizontal-relative:page;mso-position-vertical-relative:page" stroked="f">
            <v:textbox style="mso-next-textbox:#_x0000_s47603" inset="0,0,0,0">
              <w:txbxContent>
                <w:p w:rsidR="009B7BF1" w:rsidRDefault="009B7BF1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B7BF1" w:rsidRDefault="009B7BF1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04" o:spid="_x0000_s1038" type="#_x0000_t202" style="position:absolute;left:0;text-align:left;margin-left:392.95pt;margin-top:142.1pt;width:76.25pt;height:44.15pt;z-index:10;mso-position-horizontal-relative:page;mso-position-vertical-relative:page" stroked="f">
            <v:textbox style="mso-next-textbox:#_x0000_s47604" inset="0,0,0,0">
              <w:txbxContent>
                <w:p w:rsidR="009B7BF1" w:rsidRDefault="009B7BF1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B7BF1" w:rsidRDefault="009B7BF1">
                  <w:pPr>
                    <w:pStyle w:val="OCRStyle3"/>
                    <w:ind w:left="16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05" o:spid="_x0000_s1039" type="#_x0000_t202" style="position:absolute;left:0;text-align:left;margin-left:94.95pt;margin-top:65.65pt;width:321.55pt;height:43.35pt;z-index:9;mso-position-horizontal-relative:page;mso-position-vertical-relative:page" stroked="f">
            <v:textbox style="mso-next-textbox:#_x0000_s47605" inset="0,0,0,0">
              <w:txbxContent>
                <w:p w:rsidR="009B7BF1" w:rsidRDefault="009B7BF1">
                  <w:pPr>
                    <w:pStyle w:val="OCRStyle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(יא) קצין משטרה כאמור יחזיר רשיון נהיגה למי שנפסל מהחזיק בו</w:t>
                  </w:r>
                </w:p>
                <w:p w:rsidR="009B7BF1" w:rsidRDefault="009B7BF1">
                  <w:pPr>
                    <w:pStyle w:val="OCRStyle3"/>
                    <w:ind w:left="245"/>
                  </w:pPr>
                  <w:r>
                    <w:rPr>
                      <w:rtl/>
                    </w:rPr>
                    <w:t>לפי סעיף זה, אם שוכנע כי לא יוגש אישום נגד בעל הרשיון.*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4A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5A25C5-688C-492D-AB40-C850B63D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4AD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761C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B7BF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2008-04-07T10:20:00Z</dcterms:created>
  <dcterms:modified xsi:type="dcterms:W3CDTF">2008-04-07T10:20:00Z</dcterms:modified>
</cp:coreProperties>
</file>