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579C2" w:rsidRDefault="002579C2">
      <w:pPr>
        <w:rPr>
          <w:rtl/>
        </w:rPr>
      </w:pPr>
    </w:p>
    <w:p w:rsidR="002579C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66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7662" inset="0,0,0,0">
              <w:txbxContent>
                <w:p w:rsidR="0014370A" w:rsidRDefault="0014370A">
                  <w:r>
                    <w:rPr>
                      <w:rtl/>
                    </w:rPr>
                    <w:t>16                                          ספר החוקים 1640                  ו' בכסליו התשנ"ח 05.12.1997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63" o:spid="_x0000_s1026" type="#_x0000_t202" style="position:absolute;left:0;text-align:left;margin-left:81.75pt;margin-top:653.2pt;width:401.75pt;height:100.6pt;z-index:3;mso-position-horizontal-relative:page;mso-position-vertical-relative:page" stroked="f">
            <v:textbox style="mso-next-textbox:#_x0000_s47663" inset="0,0,0,0">
              <w:txbxContent>
                <w:p w:rsidR="0014370A" w:rsidRDefault="0014370A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כ-ה בחשון התשנ"ח (25 בנובמבר 997 0; הצעת החוק ודברי הסבר פורסמו בהצעות</w:t>
                  </w:r>
                </w:p>
                <w:p w:rsidR="0014370A" w:rsidRDefault="0014370A">
                  <w:pPr>
                    <w:pStyle w:val="OCRStyle1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חוק 2562, מיום ז' בכסלו התשנ'ז (18 בנובמבר 0996, עמ' 70.</w:t>
                  </w:r>
                </w:p>
                <w:p w:rsidR="0014370A" w:rsidRDefault="0014370A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1 ס"ח התשנ"א, עמ' 138; התשנ"ו, עכו 243.</w:t>
                  </w:r>
                </w:p>
                <w:p w:rsidR="0014370A" w:rsidRPr="002579C2" w:rsidRDefault="0014370A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2 ס"ח התש"ך, עמ' 52; התשנ-ו, עבר 253.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64" o:spid="_x0000_s1027" type="#_x0000_t202" style="position:absolute;left:0;text-align:left;margin-left:87.5pt;margin-top:100.4pt;width:462.9pt;height:551.85pt;z-index:2;mso-position-horizontal-relative:page;mso-position-vertical-relative:page" stroked="f">
            <v:textbox style="mso-next-textbox:#_x0000_s4766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5"/>
                    <w:gridCol w:w="1252"/>
                  </w:tblGrid>
                  <w:tr w:rsidR="0014370A" w:rsidRPr="002579C2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14370A" w:rsidRDefault="0014370A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למניעת אלימות במשפחה, התשנ'א-1991 1 (להלן - החוק העיקרי),</w:t>
                        </w:r>
                      </w:p>
                      <w:p w:rsidR="0014370A" w:rsidRDefault="001437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2 -</w:t>
                        </w:r>
                      </w:p>
                      <w:p w:rsidR="0014370A" w:rsidRDefault="001437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(גו), אחרי ''בית המשפט רשאי" יבוא "מנימוקים מיוחדים שיפורטו</w:t>
                        </w:r>
                      </w:p>
                      <w:p w:rsidR="0014370A" w:rsidRDefault="001437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בהחלטתו" ובמקום "ששה חודשים" יבוא "שנה";</w:t>
                        </w:r>
                      </w:p>
                      <w:p w:rsidR="0014370A" w:rsidRDefault="001437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(ו) יבוא:</w:t>
                        </w:r>
                      </w:p>
                      <w:p w:rsidR="0014370A" w:rsidRDefault="001437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"(ז) (ו) ניתן צו הגנה להגנתו של קטין, תימסר הודעה על כך על ידי בית</w:t>
                        </w:r>
                      </w:p>
                      <w:p w:rsidR="0014370A" w:rsidRDefault="001437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המשפט, לפקיד סער כמשמעותו בחוק הנוער (טיפול והשגחה), התש'ך-</w:t>
                        </w:r>
                      </w:p>
                      <w:p w:rsidR="0014370A" w:rsidRDefault="001437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1960 2.</w:t>
                        </w:r>
                      </w:p>
                      <w:p w:rsidR="0014370A" w:rsidRDefault="001437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ניתן צו הגנה להגנתו של קטין, רשאי בית המשפט להורות לפקיד</w:t>
                        </w:r>
                      </w:p>
                      <w:p w:rsidR="0014370A" w:rsidRDefault="001437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סעד כאמור בפסקה (ו), להגיש תסקיר בכתב במועד שיקבע.</w:t>
                        </w:r>
                      </w:p>
                      <w:p w:rsidR="0014370A" w:rsidRDefault="001437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)3( ניתן צו הגנה להגנתו של קטין כאמור בסעיף קטן (א)(1), כלפי אדם</w:t>
                        </w:r>
                      </w:p>
                      <w:p w:rsidR="0014370A" w:rsidRDefault="001437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האחראי על הקטין, יורה בית המשפט לפקיד סעד כאמור בפסקה (ו), על</w:t>
                        </w:r>
                      </w:p>
                      <w:p w:rsidR="0014370A" w:rsidRDefault="001437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תסקיר לבית המשפט; תסקיר כאמור יוגש בתוך 30 ימים ובו ימסור</w:t>
                        </w:r>
                      </w:p>
                      <w:p w:rsidR="0014370A" w:rsidRDefault="001437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פקיד הסעד, בין היתר, את עמדתו ביחס לקיומה של אפשרות לשמירת</w:t>
                        </w:r>
                      </w:p>
                      <w:p w:rsidR="0014370A" w:rsidRDefault="001437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קשר בין הקטין לבין האחראי על הקטין.</w:t>
                        </w:r>
                      </w:p>
                      <w:p w:rsidR="0014370A" w:rsidRDefault="001437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נוכח בית המשפט, על סמך תסקיר כאמור בפסקה (3), כי שמירת</w:t>
                        </w:r>
                      </w:p>
                      <w:p w:rsidR="0014370A" w:rsidRDefault="001437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הקשר בין הקטין ובין האחראי על הקטין שכלפיו ניתן צו ההגנה, עולה</w:t>
                        </w:r>
                      </w:p>
                      <w:p w:rsidR="0014370A" w:rsidRDefault="001437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בקנה אחד עם טובת הקטין, רשאי הוא ליתן הוראות לעניין זה.</w:t>
                        </w:r>
                      </w:p>
                      <w:p w:rsidR="0014370A" w:rsidRDefault="001437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ניתן צו הגנה כאמור בסעיף קטן (א)(1) כלפי אדם האחראי על קטין, ומטרת</w:t>
                        </w:r>
                      </w:p>
                      <w:p w:rsidR="0014370A" w:rsidRDefault="001437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 אינה להגן על הקטין, רשאי בית המשפט לתת הוראות לעניין שמירת</w:t>
                        </w:r>
                      </w:p>
                      <w:p w:rsidR="0014370A" w:rsidRDefault="001437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הקשר שבין האדם לבין הקטין, ובלבד שנוכח, על סמך תסקיר לפי הוראות סעיף</w:t>
                        </w:r>
                      </w:p>
                      <w:p w:rsidR="0014370A" w:rsidRDefault="001437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או בדרך אחרת, כי מתן הוראות כאמור לא יהיה ברוך בפגיעה בקטין.</w:t>
                        </w:r>
                      </w:p>
                      <w:p w:rsidR="0014370A" w:rsidRDefault="001437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לעניין סעיף זה, "אחראי על קטין'' - הורה, הורה חורג, אפוטרופוס, או מי</w:t>
                        </w:r>
                      </w:p>
                      <w:p w:rsidR="0014370A" w:rsidRPr="002579C2" w:rsidRDefault="001437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שהקטין נתון במשמורתו או בהשגחתו.''</w:t>
                        </w:r>
                      </w:p>
                    </w:tc>
                    <w:tc>
                      <w:tcPr>
                        <w:tcW w:w="744" w:type="pct"/>
                      </w:tcPr>
                      <w:p w:rsidR="0014370A" w:rsidRPr="002579C2" w:rsidRDefault="001437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14370A" w:rsidRPr="002579C2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14370A" w:rsidRDefault="001437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 לחוק העיקרי -</w:t>
                        </w:r>
                      </w:p>
                      <w:p w:rsidR="0014370A" w:rsidRDefault="001437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בפסקה (ו), במקום ''או ביצע בו עבירת מין- יבוא 'ביצע בו עבירת מין או כלא</w:t>
                        </w:r>
                      </w:p>
                      <w:p w:rsidR="0014370A" w:rsidRDefault="001437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שלא כדין";</w:t>
                        </w:r>
                      </w:p>
                      <w:p w:rsidR="0014370A" w:rsidRDefault="001437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(2) יבוא:</w:t>
                        </w:r>
                      </w:p>
                      <w:p w:rsidR="0014370A" w:rsidRDefault="001437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התעלל בבן משפחתו התעללות נפשית מתמשכת, או התנהג באופן</w:t>
                        </w:r>
                      </w:p>
                      <w:p w:rsidR="0014370A" w:rsidRPr="002579C2" w:rsidRDefault="001437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מאפשר לבן משפחתו ניהול סביר ותקין של חייו.'</w:t>
                        </w:r>
                      </w:p>
                    </w:tc>
                    <w:tc>
                      <w:tcPr>
                        <w:tcW w:w="744" w:type="pct"/>
                      </w:tcPr>
                      <w:p w:rsidR="0014370A" w:rsidRPr="002579C2" w:rsidRDefault="001437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נ</w:t>
                        </w:r>
                      </w:p>
                    </w:tc>
                  </w:tr>
                  <w:tr w:rsidR="0014370A" w:rsidRPr="002579C2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14370A" w:rsidRDefault="001437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4 לחוק העיקרי, בסופו יבוא:</w:t>
                        </w:r>
                      </w:p>
                      <w:p w:rsidR="0014370A" w:rsidRDefault="001437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על אף האמור בסעיף קטן (א), צו כאמור בסעיף 3(3) יינתן רק במעמד שני</w:t>
                        </w:r>
                      </w:p>
                      <w:p w:rsidR="0014370A" w:rsidRPr="002579C2" w:rsidRDefault="001437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הצדדים, אלא אם בן הוזמן המשיב כדין ולא התייצב לדיון.'</w:t>
                        </w:r>
                      </w:p>
                    </w:tc>
                    <w:tc>
                      <w:tcPr>
                        <w:tcW w:w="744" w:type="pct"/>
                      </w:tcPr>
                      <w:p w:rsidR="0014370A" w:rsidRPr="002579C2" w:rsidRDefault="001437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</w:tbl>
                <w:p w:rsidR="0014370A" w:rsidRDefault="0014370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665" o:spid="_x0000_s1028" type="#_x0000_t202" style="position:absolute;left:0;text-align:left;margin-left:113.85pt;margin-top:77.25pt;width:336.6pt;height:21.6pt;z-index:1;mso-position-horizontal-relative:page;mso-position-vertical-relative:page" stroked="f">
            <v:textbox style="mso-next-textbox:#_x0000_s47665" inset="0,0,0,0">
              <w:txbxContent>
                <w:p w:rsidR="0014370A" w:rsidRPr="002579C2" w:rsidRDefault="0014370A">
                  <w:pPr>
                    <w:pStyle w:val="OCRStyle1"/>
                    <w:ind w:left="22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למניעת אלימות במשפחה (תיקון מס' 3), התשנ"ח-1997*</w:t>
                  </w:r>
                </w:p>
              </w:txbxContent>
            </v:textbox>
            <w10:wrap anchorx="page" anchory="page"/>
          </v:shape>
        </w:pict>
      </w:r>
    </w:p>
    <w:p w:rsidR="00B607C0" w:rsidRDefault="00B607C0">
      <w:pPr>
        <w:rPr>
          <w:rtl/>
        </w:rPr>
      </w:pPr>
      <w:r>
        <w:rPr>
          <w:rtl/>
        </w:rPr>
        <w:br w:type="page"/>
      </w:r>
    </w:p>
    <w:p w:rsidR="00B607C0" w:rsidRDefault="00000000">
      <w:pPr>
        <w:rPr>
          <w:rtl/>
        </w:rPr>
      </w:pPr>
      <w:r>
        <w:pict>
          <v:shape id="_x0000_s47666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7666" inset="0,0,0,0">
              <w:txbxContent>
                <w:p w:rsidR="0014370A" w:rsidRDefault="0014370A">
                  <w:r>
                    <w:rPr>
                      <w:rtl/>
                    </w:rPr>
                    <w:t>17                                          ספר החוקים 1640                  ו' בכסליו התשנ"ח 05.12.1997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67" o:spid="_x0000_s1030" type="#_x0000_t202" style="position:absolute;left:0;text-align:left;margin-left:322.55pt;margin-top:657pt;width:222.75pt;height:94.05pt;z-index:6;mso-position-horizontal-relative:page;mso-position-vertical-relative:page" stroked="f">
            <v:textbox style="mso-next-textbox:#_x0000_s47667" inset="0,0,0,0">
              <w:txbxContent>
                <w:p w:rsidR="0014370A" w:rsidRDefault="0014370A">
                  <w:pPr>
                    <w:pStyle w:val="OCRStyle2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3 ס''ח התשמ''ד, עמ' 198.</w:t>
                  </w:r>
                </w:p>
                <w:p w:rsidR="0014370A" w:rsidRDefault="0014370A">
                  <w:pPr>
                    <w:pStyle w:val="OCRStyle2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4 ס"ח התש"ט, עמ' 143.</w:t>
                  </w:r>
                </w:p>
                <w:p w:rsidR="0014370A" w:rsidRDefault="0014370A">
                  <w:pPr>
                    <w:pStyle w:val="OCRStyle2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5 דיני מדינת ישראל, נוסח חדש 18, עמ' ו.42</w:t>
                  </w:r>
                </w:p>
                <w:p w:rsidR="0014370A" w:rsidRPr="00B607C0" w:rsidRDefault="0014370A">
                  <w:pPr>
                    <w:pStyle w:val="OCRStyle2"/>
                    <w:ind w:left="360"/>
                  </w:pPr>
                  <w:r>
                    <w:rPr>
                      <w:rtl/>
                    </w:rPr>
                    <w:t>6 ס"ח התשנ-ו, עבר 558; התשנ-ו, עמ' 6 ו ו.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68" o:spid="_x0000_s1031" type="#_x0000_t202" style="position:absolute;left:0;text-align:left;margin-left:73.45pt;margin-top:67.95pt;width:476pt;height:588.85pt;z-index:5;mso-position-horizontal-relative:page;mso-position-vertical-relative:page" stroked="f">
            <v:textbox style="mso-next-textbox:#_x0000_s4766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9"/>
                    <w:gridCol w:w="5872"/>
                    <w:gridCol w:w="1444"/>
                  </w:tblGrid>
                  <w:tr w:rsidR="0014370A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14370A" w:rsidRPr="00B607C0" w:rsidRDefault="001437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  <w:tc>
                      <w:tcPr>
                        <w:tcW w:w="4226" w:type="pct"/>
                        <w:gridSpan w:val="2"/>
                      </w:tcPr>
                      <w:p w:rsidR="0014370A" w:rsidRDefault="001437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5 לחוק העיקרי, בסופו יבוא: ''ואולם, מנימוקים מיוחדים שיפורטו בהחלטתו,</w:t>
                        </w:r>
                      </w:p>
                      <w:p w:rsidR="0014370A" w:rsidRDefault="001437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להאריך את תוקפו של הצו לתקופה כוללת שלא תעלה על שנה אחת.''</w:t>
                        </w:r>
                      </w:p>
                    </w:tc>
                  </w:tr>
                  <w:tr w:rsidR="0014370A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14370A" w:rsidRPr="00B607C0" w:rsidRDefault="001437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  <w:tc>
                      <w:tcPr>
                        <w:tcW w:w="4226" w:type="pct"/>
                        <w:gridSpan w:val="2"/>
                      </w:tcPr>
                      <w:p w:rsidR="0014370A" w:rsidRDefault="001437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6 לחוק העיקרי, אחרי ''להכין תסקיר בכתב'' יבוא ''עד למועד שיקבע''.</w:t>
                        </w:r>
                      </w:p>
                    </w:tc>
                  </w:tr>
                  <w:tr w:rsidR="0014370A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14370A" w:rsidRPr="00B607C0" w:rsidRDefault="001437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  <w:tc>
                      <w:tcPr>
                        <w:tcW w:w="4226" w:type="pct"/>
                        <w:gridSpan w:val="2"/>
                      </w:tcPr>
                      <w:p w:rsidR="0014370A" w:rsidRDefault="001437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7 לחוק העיקרי -</w:t>
                        </w:r>
                      </w:p>
                      <w:p w:rsidR="0014370A" w:rsidRDefault="001437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סעיף קטן (א) - בטל;</w:t>
                        </w:r>
                      </w:p>
                      <w:p w:rsidR="0014370A" w:rsidRDefault="001437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הסיפה המתחילה במילים "על מעצרו" - תימחק.</w:t>
                        </w:r>
                      </w:p>
                    </w:tc>
                  </w:tr>
                  <w:tr w:rsidR="0014370A" w:rsidRPr="00B607C0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14370A" w:rsidRDefault="001437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14370A" w:rsidRDefault="001437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המשפט -</w:t>
                        </w:r>
                      </w:p>
                      <w:p w:rsidR="0014370A" w:rsidRPr="00B607C0" w:rsidRDefault="001437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25</w:t>
                        </w:r>
                      </w:p>
                    </w:tc>
                    <w:tc>
                      <w:tcPr>
                        <w:tcW w:w="4226" w:type="pct"/>
                        <w:gridSpan w:val="2"/>
                      </w:tcPr>
                      <w:p w:rsidR="0014370A" w:rsidRDefault="001437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בחוק בתי המשפט ננוסח משולב], התשמ''ד-1984 3, בסעיף 57(ב), אחרי פסקה (6)</w:t>
                        </w:r>
                      </w:p>
                      <w:p w:rsidR="0014370A" w:rsidRDefault="001437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14370A" w:rsidRDefault="001437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"(7) ערעורים על פסקי דין והחלטות אחרות לפי חוק למניעת אלימות במשפחה,</w:t>
                        </w:r>
                      </w:p>
                      <w:p w:rsidR="0014370A" w:rsidRPr="00B607C0" w:rsidRDefault="001437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התשנ-א-ו199."</w:t>
                        </w:r>
                      </w:p>
                    </w:tc>
                  </w:tr>
                  <w:tr w:rsidR="0014370A" w:rsidRPr="00B607C0">
                    <w:trPr>
                      <w:jc w:val="right"/>
                    </w:trPr>
                    <w:tc>
                      <w:tcPr>
                        <w:tcW w:w="774" w:type="pct"/>
                        <w:vMerge w:val="restart"/>
                      </w:tcPr>
                      <w:p w:rsidR="0014370A" w:rsidRDefault="001437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14370A" w:rsidRDefault="001437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היריה -</w:t>
                        </w:r>
                      </w:p>
                      <w:p w:rsidR="0014370A" w:rsidRPr="00B607C0" w:rsidRDefault="001437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11</w:t>
                        </w:r>
                      </w:p>
                    </w:tc>
                    <w:tc>
                      <w:tcPr>
                        <w:tcW w:w="4226" w:type="pct"/>
                        <w:gridSpan w:val="2"/>
                      </w:tcPr>
                      <w:p w:rsidR="0014370A" w:rsidRPr="00B607C0" w:rsidRDefault="001437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בחוק כלי היריה, התש-ט-1949 4, אחרי סעיף 18 יבוא:</w:t>
                        </w:r>
                      </w:p>
                    </w:tc>
                  </w:tr>
                  <w:tr w:rsidR="0014370A" w:rsidRPr="00B607C0">
                    <w:trPr>
                      <w:jc w:val="right"/>
                    </w:trPr>
                    <w:tc>
                      <w:tcPr>
                        <w:tcW w:w="774" w:type="pct"/>
                        <w:vMerge/>
                      </w:tcPr>
                      <w:p w:rsidR="0014370A" w:rsidRDefault="0014370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2" w:type="pct"/>
                      </w:tcPr>
                      <w:p w:rsidR="0014370A" w:rsidRDefault="001437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18א. (א) הורשע אדם בעבירת אלימות, רשאי בית המשפט לבקשת</w:t>
                        </w:r>
                      </w:p>
                      <w:p w:rsidR="0014370A" w:rsidRDefault="001437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תובע, לכלול במר הדין -</w:t>
                        </w:r>
                      </w:p>
                      <w:p w:rsidR="0014370A" w:rsidRDefault="001437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הוראה לפקיד הרישוי, לבטל למורשע רשיון לכלי יריה,</w:t>
                        </w:r>
                      </w:p>
                      <w:p w:rsidR="0014370A" w:rsidRDefault="001437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לתת לו רשיון חדש במשך תקופה שיקבע בית המשפט;</w:t>
                        </w:r>
                      </w:p>
                      <w:p w:rsidR="0014370A" w:rsidRDefault="001437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הוראה למורשע להפקיד למשמרת כלי יריה המוחזק על</w:t>
                        </w:r>
                      </w:p>
                      <w:p w:rsidR="0014370A" w:rsidRDefault="001437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ידו, בתחנת המשטרה של מקום מגוריו או מקום עסקיו.</w:t>
                        </w:r>
                      </w:p>
                      <w:p w:rsidR="0014370A" w:rsidRDefault="001437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הורשע אדם בעבירת אלימות כלפי בן משפחה, יתן בית</w:t>
                        </w:r>
                      </w:p>
                      <w:p w:rsidR="0014370A" w:rsidRDefault="001437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המשפט, לבקשת תובע, הוראות כאמור בסעיף קטן (א)(ו) ו-(2), אלא אם כן</w:t>
                        </w:r>
                      </w:p>
                      <w:p w:rsidR="0014370A" w:rsidRDefault="001437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החליט, מנימוקים מיוחדים שיפורטו בגזר הדין, לדחות את הבקשה; לעניין</w:t>
                        </w:r>
                      </w:p>
                      <w:p w:rsidR="0014370A" w:rsidRDefault="001437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זה, "בן משפחה" - כהגדרתו בחוק למניעת אלימות במשפחה,</w:t>
                        </w:r>
                      </w:p>
                      <w:p w:rsidR="0014370A" w:rsidRDefault="001437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התשנ"א-ו99ו.</w:t>
                        </w:r>
                      </w:p>
                      <w:p w:rsidR="0014370A" w:rsidRDefault="001437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נתן בית המשפט הוראה לפי סעיף זה, תוודא המשטרה שכלי</w:t>
                        </w:r>
                      </w:p>
                      <w:p w:rsidR="0014370A" w:rsidRDefault="001437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היריה הופקד בהתאם להוראות חוק זה."</w:t>
                        </w:r>
                      </w:p>
                    </w:tc>
                    <w:tc>
                      <w:tcPr>
                        <w:tcW w:w="834" w:type="pct"/>
                      </w:tcPr>
                      <w:p w:rsidR="0014370A" w:rsidRDefault="001437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רשיון</w:t>
                        </w:r>
                      </w:p>
                      <w:p w:rsidR="0014370A" w:rsidRPr="00B607C0" w:rsidRDefault="001437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בגזר דין</w:t>
                        </w:r>
                      </w:p>
                    </w:tc>
                  </w:tr>
                  <w:tr w:rsidR="0014370A" w:rsidRPr="00B607C0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14370A" w:rsidRDefault="001437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14370A" w:rsidRPr="00B607C0" w:rsidRDefault="001437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הראיות - מס' 13</w:t>
                        </w:r>
                      </w:p>
                    </w:tc>
                    <w:tc>
                      <w:tcPr>
                        <w:tcW w:w="4226" w:type="pct"/>
                        <w:gridSpan w:val="2"/>
                      </w:tcPr>
                      <w:p w:rsidR="0014370A" w:rsidRDefault="001437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בפקודת הראיות [נוסח חדש], התשל-א-1971 5, בסעיף 5, אחרי פסקה (2) יבוא:</w:t>
                        </w:r>
                      </w:p>
                      <w:p w:rsidR="0014370A" w:rsidRDefault="001437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"(2א) עבירה לפי סעיף 287 לחוק העונשין, לעניין הפרת צו הגנה לפי חוק למניעת</w:t>
                        </w:r>
                      </w:p>
                      <w:p w:rsidR="0014370A" w:rsidRDefault="001437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אלימות במשפחה, התשנ''א-1991, או לעניין הפרת צו שיפוטי אחר לפי כל דין,</w:t>
                        </w:r>
                      </w:p>
                      <w:p w:rsidR="0014370A" w:rsidRPr="00B607C0" w:rsidRDefault="001437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שעניינו הגנת בן זוגו, ילדו או הורהו של המפר, מפניו.-</w:t>
                        </w:r>
                      </w:p>
                    </w:tc>
                  </w:tr>
                  <w:tr w:rsidR="0014370A" w:rsidRPr="00B607C0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14370A" w:rsidRDefault="001437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14370A" w:rsidRDefault="001437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 הדין הפלילי</w:t>
                        </w:r>
                      </w:p>
                      <w:p w:rsidR="0014370A" w:rsidRDefault="001437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(סמכויות אכיפה -</w:t>
                        </w:r>
                      </w:p>
                      <w:p w:rsidR="0014370A" w:rsidRPr="00B607C0" w:rsidRDefault="001437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מעצרים) - מס' 2</w:t>
                        </w:r>
                      </w:p>
                    </w:tc>
                    <w:tc>
                      <w:tcPr>
                        <w:tcW w:w="4226" w:type="pct"/>
                        <w:gridSpan w:val="2"/>
                      </w:tcPr>
                      <w:p w:rsidR="0014370A" w:rsidRDefault="001437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בחוק סדר הדין הפלילי (סמכויות אכיפה - מעצרים), התשנ"ז-1996 6 -</w:t>
                        </w:r>
                      </w:p>
                      <w:p w:rsidR="0014370A" w:rsidRDefault="001437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42 -</w:t>
                        </w:r>
                      </w:p>
                      <w:p w:rsidR="0014370A" w:rsidRDefault="001437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(ב), בסופו יבוא:</w:t>
                        </w:r>
                      </w:p>
                      <w:p w:rsidR="0014370A" w:rsidRDefault="001437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*(8) הפקדת כלי הנשק שברשותו בתחנת המשטרה - לעניין חשוד</w:t>
                        </w:r>
                      </w:p>
                      <w:p w:rsidR="0014370A" w:rsidRPr="00B607C0" w:rsidRDefault="001437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בעבירת אלימות.-;</w:t>
                        </w:r>
                      </w:p>
                    </w:tc>
                  </w:tr>
                </w:tbl>
                <w:p w:rsidR="0014370A" w:rsidRDefault="0014370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14370A" w:rsidRDefault="0014370A">
      <w:pPr>
        <w:rPr>
          <w:rtl/>
        </w:rPr>
      </w:pPr>
      <w:r>
        <w:rPr>
          <w:rtl/>
        </w:rPr>
        <w:br w:type="page"/>
      </w:r>
    </w:p>
    <w:p w:rsidR="0014370A" w:rsidRDefault="00000000">
      <w:pPr>
        <w:rPr>
          <w:rtl/>
        </w:rPr>
      </w:pPr>
      <w:r>
        <w:pict>
          <v:shape id="_x0000_s47669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47669" inset="0,0,0,0">
              <w:txbxContent>
                <w:p w:rsidR="0014370A" w:rsidRDefault="0014370A">
                  <w:r>
                    <w:rPr>
                      <w:rtl/>
                    </w:rPr>
                    <w:t>18                                          ספר החוקים 1640                  ו' בכסליו התשנ"ח 05.12.1997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70" o:spid="_x0000_s1033" type="#_x0000_t202" style="position:absolute;left:0;text-align:left;margin-left:97.6pt;margin-top:698.1pt;width:220.95pt;height:54.45pt;z-index:13;mso-position-horizontal-relative:page;mso-position-vertical-relative:page" stroked="f">
            <v:textbox style="mso-next-textbox:#_x0000_s47670" inset="0,0,0,0">
              <w:txbxContent>
                <w:p w:rsidR="0014370A" w:rsidRDefault="0014370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7671" o:spid="_x0000_s1034" type="#_x0000_t202" style="position:absolute;left:0;text-align:left;margin-left:107.5pt;margin-top:462.1pt;width:86.55pt;height:28.9pt;z-index:12;mso-position-horizontal-relative:page;mso-position-vertical-relative:page" stroked="f">
            <v:textbox style="mso-next-textbox:#_x0000_s47671" inset="0,0,0,0">
              <w:txbxContent>
                <w:p w:rsidR="0014370A" w:rsidRDefault="0014370A">
                  <w:pPr>
                    <w:pStyle w:val="OCRStyle3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צחי הנגבי</w:t>
                  </w:r>
                </w:p>
                <w:p w:rsidR="0014370A" w:rsidRDefault="0014370A">
                  <w:pPr>
                    <w:pStyle w:val="OCRStyle3"/>
                    <w:ind w:left="17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72" o:spid="_x0000_s1035" type="#_x0000_t202" style="position:absolute;left:0;text-align:left;margin-left:197.4pt;margin-top:487.65pt;width:95.65pt;height:38pt;z-index:11;mso-position-horizontal-relative:page;mso-position-vertical-relative:page" stroked="f">
            <v:textbox style="mso-next-textbox:#_x0000_s47672" inset="0,0,0,0">
              <w:txbxContent>
                <w:p w:rsidR="0014370A" w:rsidRDefault="0014370A">
                  <w:pPr>
                    <w:pStyle w:val="OCRStyle3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14370A" w:rsidRDefault="0014370A">
                  <w:pPr>
                    <w:pStyle w:val="OCRStyle3"/>
                    <w:ind w:left="15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73" o:spid="_x0000_s1036" type="#_x0000_t202" style="position:absolute;left:0;text-align:left;margin-left:294.8pt;margin-top:458.75pt;width:99pt;height:32.25pt;z-index:10;mso-position-horizontal-relative:page;mso-position-vertical-relative:page" stroked="f">
            <v:textbox style="mso-next-textbox:#_x0000_s47673" inset="0,0,0,0">
              <w:txbxContent>
                <w:p w:rsidR="0014370A" w:rsidRDefault="0014370A">
                  <w:pPr>
                    <w:pStyle w:val="OCRStyle3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14370A" w:rsidRDefault="0014370A">
                  <w:pPr>
                    <w:pStyle w:val="OCRStyle3"/>
                    <w:ind w:left="28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74" o:spid="_x0000_s1037" type="#_x0000_t202" style="position:absolute;left:0;text-align:left;margin-left:393.8pt;margin-top:490.2pt;width:80.8pt;height:46.95pt;z-index:9;mso-position-horizontal-relative:page;mso-position-vertical-relative:page" stroked="f">
            <v:textbox style="mso-next-textbox:#_x0000_s47674" inset="0,0,0,0">
              <w:txbxContent>
                <w:p w:rsidR="0014370A" w:rsidRDefault="0014370A">
                  <w:pPr>
                    <w:pStyle w:val="OCRStyle3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14370A" w:rsidRDefault="0014370A">
                  <w:pPr>
                    <w:pStyle w:val="OCRStyle3"/>
                    <w:ind w:left="11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75" o:spid="_x0000_s1038" type="#_x0000_t202" style="position:absolute;left:0;text-align:left;margin-left:86.1pt;margin-top:82.55pt;width:377.8pt;height:364.7pt;z-index:8;mso-position-horizontal-relative:page;mso-position-vertical-relative:page" stroked="f">
            <v:textbox style="mso-next-textbox:#_x0000_s47675" inset="0,0,0,0">
              <w:txbxContent>
                <w:p w:rsidR="0014370A" w:rsidRDefault="0014370A">
                  <w:pPr>
                    <w:pStyle w:val="OCRStyle3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(ב) אחרי סעיף קטן (ב) יבוא:</w:t>
                  </w:r>
                </w:p>
                <w:p w:rsidR="0014370A" w:rsidRDefault="0014370A">
                  <w:pPr>
                    <w:pStyle w:val="OCRStyle3"/>
                    <w:ind w:left="968"/>
                    <w:rPr>
                      <w:rtl/>
                    </w:rPr>
                  </w:pPr>
                  <w:r>
                    <w:rPr>
                      <w:rtl/>
                    </w:rPr>
                    <w:t>''(בו) החליט הקצין הממונה שלא להתנות את השחרור של חשוד</w:t>
                  </w:r>
                </w:p>
                <w:p w:rsidR="0014370A" w:rsidRDefault="0014370A">
                  <w:pPr>
                    <w:pStyle w:val="OCRStyle3"/>
                    <w:ind w:left="961"/>
                    <w:rPr>
                      <w:rtl/>
                    </w:rPr>
                  </w:pPr>
                  <w:r>
                    <w:rPr>
                      <w:rtl/>
                    </w:rPr>
                    <w:t>בעבירת אלימות בבן משפחה, בהפקדת כלי הנשק שברשות החשוד,</w:t>
                  </w:r>
                </w:p>
                <w:p w:rsidR="0014370A" w:rsidRDefault="0014370A">
                  <w:pPr>
                    <w:pStyle w:val="OCRStyle3"/>
                    <w:ind w:left="961"/>
                    <w:rPr>
                      <w:rtl/>
                    </w:rPr>
                  </w:pPr>
                  <w:r>
                    <w:rPr>
                      <w:rtl/>
                    </w:rPr>
                    <w:t>כאמור בסעיף קטן (ב)(8), יפרט את נימוקיו בכתב; לעניין זה.</w:t>
                  </w:r>
                </w:p>
                <w:p w:rsidR="0014370A" w:rsidRDefault="0014370A">
                  <w:pPr>
                    <w:pStyle w:val="OCRStyle3"/>
                    <w:ind w:left="965"/>
                    <w:rPr>
                      <w:rtl/>
                    </w:rPr>
                  </w:pPr>
                  <w:r>
                    <w:rPr>
                      <w:rtl/>
                    </w:rPr>
                    <w:t>"בן משפחה' - כהגדרתו בחוק למניעת אלימות במשפחה, התשנ''א-</w:t>
                  </w:r>
                </w:p>
                <w:p w:rsidR="0014370A" w:rsidRDefault="0014370A">
                  <w:pPr>
                    <w:pStyle w:val="OCRStyle3"/>
                    <w:ind w:left="983"/>
                    <w:rPr>
                      <w:rtl/>
                    </w:rPr>
                  </w:pPr>
                  <w:r>
                    <w:rPr>
                      <w:rtl/>
                    </w:rPr>
                    <w:t>1991.</w:t>
                  </w:r>
                </w:p>
                <w:p w:rsidR="0014370A" w:rsidRDefault="0014370A">
                  <w:pPr>
                    <w:pStyle w:val="OCRStyle3"/>
                    <w:ind w:left="954"/>
                    <w:rPr>
                      <w:rtl/>
                    </w:rPr>
                  </w:pPr>
                  <w:r>
                    <w:rPr>
                      <w:rtl/>
                    </w:rPr>
                    <w:t>(ב2) החליט הקצין הממונה לשחרר בערובה חשוד בעבירה שנעשתה</w:t>
                  </w:r>
                </w:p>
                <w:p w:rsidR="0014370A" w:rsidRDefault="0014370A">
                  <w:pPr>
                    <w:pStyle w:val="OCRStyle3"/>
                    <w:ind w:left="954"/>
                    <w:rPr>
                      <w:rtl/>
                    </w:rPr>
                  </w:pPr>
                  <w:r>
                    <w:rPr>
                      <w:rtl/>
                    </w:rPr>
                    <w:t>באלימות חמורה, באכזריות או תוך שימוש בנשק חם או קר, יתנה את</w:t>
                  </w:r>
                </w:p>
                <w:p w:rsidR="0014370A" w:rsidRDefault="0014370A">
                  <w:pPr>
                    <w:pStyle w:val="OCRStyle3"/>
                    <w:ind w:left="954"/>
                    <w:rPr>
                      <w:rtl/>
                    </w:rPr>
                  </w:pPr>
                  <w:r>
                    <w:rPr>
                      <w:rtl/>
                    </w:rPr>
                    <w:t>שחרורו בהפקדת כלי הנשק שברשותו כאמור בסעיף קטן (8)."</w:t>
                  </w:r>
                </w:p>
                <w:p w:rsidR="0014370A" w:rsidRDefault="0014370A">
                  <w:pPr>
                    <w:pStyle w:val="OCRStyle3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(2) בסעיף 43, בסופו יבוא:</w:t>
                  </w:r>
                </w:p>
                <w:p w:rsidR="0014370A" w:rsidRDefault="0014370A">
                  <w:pPr>
                    <w:pStyle w:val="OCRStyle3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"(3) על תנאי לפי הוראות סעיף 42(ב2), אם בנסיבות העניין לא נשקפת סכנה</w:t>
                  </w:r>
                </w:p>
                <w:p w:rsidR="0014370A" w:rsidRDefault="0014370A">
                  <w:pPr>
                    <w:pStyle w:val="OCRStyle3"/>
                    <w:ind w:left="565"/>
                    <w:rPr>
                      <w:rtl/>
                    </w:rPr>
                  </w:pPr>
                  <w:r>
                    <w:rPr>
                      <w:rtl/>
                    </w:rPr>
                    <w:t>לבטחונו של אדם או לבטחון הציבור מביטול התנאי.'</w:t>
                  </w:r>
                </w:p>
                <w:p w:rsidR="0014370A" w:rsidRDefault="0014370A">
                  <w:pPr>
                    <w:pStyle w:val="OCRStyle3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(3) בסעיף 48 -</w:t>
                  </w:r>
                </w:p>
                <w:p w:rsidR="0014370A" w:rsidRDefault="0014370A">
                  <w:pPr>
                    <w:pStyle w:val="OCRStyle3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(א) בסעיף קטן (א), אחרי פסקה (11) יבוא:</w:t>
                  </w:r>
                </w:p>
                <w:p w:rsidR="0014370A" w:rsidRDefault="0014370A">
                  <w:pPr>
                    <w:pStyle w:val="OCRStyle3"/>
                    <w:ind w:left="961"/>
                    <w:rPr>
                      <w:rtl/>
                    </w:rPr>
                  </w:pPr>
                  <w:r>
                    <w:rPr>
                      <w:rtl/>
                    </w:rPr>
                    <w:t>"(12) הפקדת כלי הנשק שברשותו בתחנת המשטרה - לעניין חשוד</w:t>
                  </w:r>
                </w:p>
                <w:p w:rsidR="0014370A" w:rsidRDefault="0014370A">
                  <w:pPr>
                    <w:pStyle w:val="OCRStyle3"/>
                    <w:ind w:left="950"/>
                    <w:rPr>
                      <w:rtl/>
                    </w:rPr>
                  </w:pPr>
                  <w:r>
                    <w:rPr>
                      <w:rtl/>
                    </w:rPr>
                    <w:t>בעבירת אלימות.";</w:t>
                  </w:r>
                </w:p>
                <w:p w:rsidR="0014370A" w:rsidRDefault="0014370A">
                  <w:pPr>
                    <w:pStyle w:val="OCRStyle3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(ב) אחרי סעיף קטן (ב) יבוא:</w:t>
                  </w:r>
                </w:p>
                <w:p w:rsidR="0014370A" w:rsidRDefault="0014370A">
                  <w:pPr>
                    <w:pStyle w:val="OCRStyle3"/>
                    <w:ind w:left="954"/>
                    <w:rPr>
                      <w:rtl/>
                    </w:rPr>
                  </w:pPr>
                  <w:r>
                    <w:rPr>
                      <w:rtl/>
                    </w:rPr>
                    <w:t>"(ב1) הורה בית המשפט על שחרור של חשוד בעבירת אלימות בבן</w:t>
                  </w:r>
                </w:p>
                <w:p w:rsidR="0014370A" w:rsidRDefault="0014370A">
                  <w:pPr>
                    <w:pStyle w:val="OCRStyle3"/>
                    <w:ind w:left="954"/>
                    <w:rPr>
                      <w:rtl/>
                    </w:rPr>
                  </w:pPr>
                  <w:r>
                    <w:rPr>
                      <w:rtl/>
                    </w:rPr>
                    <w:t>משפחה, או בעבירה שנעשתה באלימות חמורה, באכזריות או תוך שימוש</w:t>
                  </w:r>
                </w:p>
                <w:p w:rsidR="0014370A" w:rsidRDefault="0014370A">
                  <w:pPr>
                    <w:pStyle w:val="OCRStyle3"/>
                    <w:ind w:left="947"/>
                    <w:rPr>
                      <w:rtl/>
                    </w:rPr>
                  </w:pPr>
                  <w:r>
                    <w:rPr>
                      <w:rtl/>
                    </w:rPr>
                    <w:t>בנשק חם או קר, ולא התנה את השחרור בהפקדת כלי הנשק שברשות</w:t>
                  </w:r>
                </w:p>
                <w:p w:rsidR="0014370A" w:rsidRDefault="0014370A">
                  <w:pPr>
                    <w:pStyle w:val="OCRStyle3"/>
                    <w:ind w:left="954"/>
                    <w:rPr>
                      <w:rtl/>
                    </w:rPr>
                  </w:pPr>
                  <w:r>
                    <w:rPr>
                      <w:rtl/>
                    </w:rPr>
                    <w:t>החשוד כאמור בסעיף קטן (א)(12), יפרט את נימוקיו לכך בהחלטתו; לעניין</w:t>
                  </w:r>
                </w:p>
                <w:p w:rsidR="0014370A" w:rsidRDefault="0014370A">
                  <w:pPr>
                    <w:pStyle w:val="OCRStyle3"/>
                    <w:ind w:left="950"/>
                    <w:rPr>
                      <w:rtl/>
                    </w:rPr>
                  </w:pPr>
                  <w:r>
                    <w:rPr>
                      <w:rtl/>
                    </w:rPr>
                    <w:t>זה, "בן משפחה" - בהגדרתו בחוק למניעת אלימות במשפחה, התשנ''א-</w:t>
                  </w:r>
                </w:p>
                <w:p w:rsidR="0014370A" w:rsidRDefault="0014370A">
                  <w:pPr>
                    <w:pStyle w:val="OCRStyle3"/>
                    <w:ind w:left="976"/>
                  </w:pPr>
                  <w:r>
                    <w:rPr>
                      <w:rtl/>
                    </w:rPr>
                    <w:t>1991."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579C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79C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19F5C09-66EB-46CC-BD31-98A31512F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579C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607C0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14370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2008-04-07T10:32:00Z</dcterms:created>
  <dcterms:modified xsi:type="dcterms:W3CDTF">2008-04-07T10:32:00Z</dcterms:modified>
</cp:coreProperties>
</file>