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4538" w:rsidRDefault="002A4538">
      <w:pPr>
        <w:rPr>
          <w:rtl/>
        </w:rPr>
      </w:pPr>
    </w:p>
    <w:p w:rsidR="002A45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7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727" inset="0,0,0,0">
              <w:txbxContent>
                <w:p w:rsidR="005D300D" w:rsidRDefault="005D300D">
                  <w:r>
                    <w:rPr>
                      <w:rtl/>
                    </w:rPr>
                    <w:t>36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8" o:spid="_x0000_s1026" type="#_x0000_t202" style="position:absolute;left:0;text-align:left;margin-left:78.65pt;margin-top:642.45pt;width:422.55pt;height:88.3pt;z-index:3;mso-position-horizontal-relative:page;mso-position-vertical-relative:page" stroked="f">
            <v:textbox style="mso-next-textbox:#_x0000_s47728" inset="0,0,0,0">
              <w:txbxContent>
                <w:p w:rsidR="005D300D" w:rsidRDefault="005D300D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בכסלו התשנ"ח ;22 בדצמבר 0997, הצעת החוק ודברי הסבר פורסמו בהצעות</w:t>
                  </w:r>
                </w:p>
                <w:p w:rsidR="005D300D" w:rsidRDefault="005D300D">
                  <w:pPr>
                    <w:pStyle w:val="OCRStyle1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חוק 2492, מיום כ''ב בשבט התשנ"ו (12 בפברואר 1996), עמ' 500.</w:t>
                  </w:r>
                </w:p>
                <w:p w:rsidR="005D300D" w:rsidRDefault="005D300D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107, התשנ"ו, עמ' 149</w:t>
                  </w:r>
                </w:p>
                <w:p w:rsidR="005D300D" w:rsidRPr="002A4538" w:rsidRDefault="005D300D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2 ס"ח התשט"ו, עמ' 171, התשל"ט, עמ' 108, התשנ"ח, עמ' 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29" o:spid="_x0000_s1027" type="#_x0000_t202" style="position:absolute;left:0;text-align:left;margin-left:79.45pt;margin-top:85.7pt;width:473.6pt;height:548.65pt;z-index:2;mso-position-horizontal-relative:page;mso-position-vertical-relative:page" stroked="f">
            <v:textbox style="mso-next-textbox:#_x0000_s4772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7"/>
                    <w:gridCol w:w="1152"/>
                    <w:gridCol w:w="1331"/>
                  </w:tblGrid>
                  <w:tr w:rsidR="005D300D" w:rsidRPr="002A4538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שירות בטחון [נוסח משולב], התשמ"ו-1986 1 (להלן - החוק העיקרי),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-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ההגדרה "יוצא צבא" יבוא: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""מוסמך" - מי שהוסמך בפקודות הצבא לקרוא ליוצא צבא לשירות מילואים;'';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"פוקד'' יבוא: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""פקודות הצבא" - הוראות הפיקוד העליון, פקודות המטה הכללי ופקודות כלליות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אחרות, כמשמעותן בחוק השיפוט הצבאי, התשט"ו-1955 2;".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D300D" w:rsidRPr="002A4538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5D300D" w:rsidRPr="002A4538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27 לחוק העיקרי, במקום סעיפים קטנים (ב) ו-(ג) יבוא-.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יוצא צבא הנמנה עם כוחות המילואים, אשר לא שירת שירות סדיר, או שירת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סדיר שאינו עולה על שלושים ימים, חייב, בנוסף לאמור בסעיף קטן (א),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מילואים במקום שירות סדיר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יוצא צבא, החייב בשירות מילואים לפי פרק זה ולפי סעיף 34, יהיה חייב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לשירות מילואים, אם נקרא לשירות על ידי מוסמך בדרך שנקבעה לכך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הצבא, לעניין סעיף 55(ב) עד (ז) - יראו קריאה לשירות מילואים, לפי סעיף</w:t>
                        </w:r>
                      </w:p>
                      <w:p w:rsidR="005D300D" w:rsidRPr="002A4538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כצו."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D300D" w:rsidRPr="002A4538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5D300D" w:rsidRPr="002A4538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5D300D" w:rsidRPr="002A4538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27א לחוק העיקרי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D300D" w:rsidRPr="002A4538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27א</w:t>
                        </w:r>
                      </w:p>
                    </w:tc>
                  </w:tr>
                  <w:tr w:rsidR="005D300D">
                    <w:trPr>
                      <w:jc w:val="right"/>
                    </w:trPr>
                    <w:tc>
                      <w:tcPr>
                        <w:tcW w:w="3558" w:type="pct"/>
                      </w:tcPr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 (א) כללים בדבר שירות מילואים לפי פרק זה, ייקבעו בפקודות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הצבא; כן ייקבעו בפקודות הצבא זכויותיו וחובותיו של יוצא צבא בשירות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הכללים האמורים בסעיף קטן (א), יובאו ליריעת יוצא הצבא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הנקרא לשירות מילואים, בכתב, בדרך שיקבע שר הבטחון בתקנות.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נקרא יוצא צבא לשירות מילואים על ידי מוסמך, שלא על פי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שנקבעו בפקודות הצבא, והובא הדבר לידיעת הגורם שנקבע לבך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בפקודות אלה, יבטל אותו גורם או יתקן, לפי העניין, את קריאתו של יוצא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כאמור לשירות מילואים.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תוקנה הקריאה לשירות מילואים של יוצא הצבא, יתייצב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 הצבא לשירות מילואים, כאמור בקריאה המתוקנת.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קיבל יוצא הצבא הודעה על תיקון או ביטול הקריאה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מילואים, כאמור בסעיף קטן (ג), חייב יוצא הצבא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לשירות המילואים שאליו נקרא.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יוצא הצבא שהתייצב לפי הוראות פסקה (2), לא ישרת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מילואים, אלא אם כן תוקנה קריאתו וכאמור בקריאה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המתקנת, או נמסר לו כי הגורם האמור בסעיף קטן (ג), אישר כי</w:t>
                        </w:r>
                      </w:p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קריאתו נעשתה על פי הכללים."</w:t>
                        </w:r>
                      </w:p>
                    </w:tc>
                    <w:tc>
                      <w:tcPr>
                        <w:tcW w:w="669" w:type="pct"/>
                      </w:tcPr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"כללים לשירות</w:t>
                        </w:r>
                      </w:p>
                      <w:p w:rsidR="005D300D" w:rsidRPr="002A4538" w:rsidRDefault="005D30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5D300D" w:rsidRDefault="005D300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D300D" w:rsidRDefault="005D30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30" o:spid="_x0000_s1028" type="#_x0000_t202" style="position:absolute;left:0;text-align:left;margin-left:161.2pt;margin-top:56.75pt;width:259pt;height:27.3pt;z-index:1;mso-position-horizontal-relative:page;mso-position-vertical-relative:page" stroked="f">
            <v:textbox style="mso-next-textbox:#_x0000_s47730" inset="0,0,0,0">
              <w:txbxContent>
                <w:p w:rsidR="005D300D" w:rsidRPr="002A4538" w:rsidRDefault="005D300D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9), התשנ"ח-1997*</w:t>
                  </w:r>
                </w:p>
              </w:txbxContent>
            </v:textbox>
            <w10:wrap anchorx="page" anchory="page"/>
          </v:shape>
        </w:pict>
      </w:r>
    </w:p>
    <w:p w:rsidR="00C00063" w:rsidRDefault="00C00063">
      <w:pPr>
        <w:rPr>
          <w:rtl/>
        </w:rPr>
      </w:pPr>
      <w:r>
        <w:rPr>
          <w:rtl/>
        </w:rPr>
        <w:br w:type="page"/>
      </w:r>
    </w:p>
    <w:p w:rsidR="00C00063" w:rsidRDefault="00000000">
      <w:pPr>
        <w:rPr>
          <w:rtl/>
        </w:rPr>
      </w:pPr>
      <w:r>
        <w:pict>
          <v:shape id="_x0000_s4773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731" inset="0,0,0,0">
              <w:txbxContent>
                <w:p w:rsidR="005D300D" w:rsidRDefault="005D300D">
                  <w:r>
                    <w:rPr>
                      <w:rtl/>
                    </w:rPr>
                    <w:t>37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32" o:spid="_x0000_s1030" type="#_x0000_t202" style="position:absolute;left:0;text-align:left;margin-left:346.15pt;margin-top:665.8pt;width:207.1pt;height:77.6pt;z-index:6;mso-position-horizontal-relative:page;mso-position-vertical-relative:page" stroked="f">
            <v:textbox style="mso-next-textbox:#_x0000_s47732" inset="0,0,0,0">
              <w:txbxContent>
                <w:p w:rsidR="005D300D" w:rsidRPr="00C00063" w:rsidRDefault="005D300D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3 ע"ר התש'ח, תוס' א', עמ' 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33" o:spid="_x0000_s1031" type="#_x0000_t202" style="position:absolute;left:0;text-align:left;margin-left:80.45pt;margin-top:57.75pt;width:484.3pt;height:602.3pt;z-index:5;mso-position-horizontal-relative:page;mso-position-vertical-relative:page" stroked="f">
            <v:textbox style="mso-next-textbox:#_x0000_s4773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3"/>
                    <w:gridCol w:w="5756"/>
                    <w:gridCol w:w="1535"/>
                  </w:tblGrid>
                  <w:tr w:rsidR="005D300D" w:rsidRPr="00C00063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D300D" w:rsidRPr="00C00063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28 לחוק העיקרי -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ברישה, במקום "הפוקד או המפקד" יבוא "המוסמך".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שסך כל ימי שירות המילואים החודשי בשנה לא יעלה על שישה</w:t>
                        </w:r>
                      </w:p>
                      <w:p w:rsidR="005D300D" w:rsidRPr="00C00063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ימים."</w:t>
                        </w:r>
                      </w:p>
                    </w:tc>
                  </w:tr>
                  <w:tr w:rsidR="005D300D" w:rsidRPr="00C00063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D300D" w:rsidRPr="00C00063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29</w:t>
                        </w:r>
                      </w:p>
                    </w:tc>
                    <w:tc>
                      <w:tcPr>
                        <w:tcW w:w="4141" w:type="pct"/>
                        <w:gridSpan w:val="2"/>
                      </w:tcPr>
                      <w:p w:rsidR="005D300D" w:rsidRPr="00C00063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29 לחוק העיקרי יבוא:</w:t>
                        </w:r>
                      </w:p>
                    </w:tc>
                  </w:tr>
                  <w:tr w:rsidR="005D300D" w:rsidRPr="00C00063">
                    <w:trPr>
                      <w:jc w:val="right"/>
                    </w:trPr>
                    <w:tc>
                      <w:tcPr>
                        <w:tcW w:w="859" w:type="pct"/>
                      </w:tcPr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תקופת שירות המילואים השנתי היא עד שלושים ימי שירות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שנה, ובלבד שתקופת שירות המילואים של יוצא צבא בתעסוקה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מבצעית, כהגדרתה בפקודות הצבא, לא תעלה על עשרים וחמישה ימי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לכל שנה.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28( 1), רשאי מוסמך להורות כי עד שלושה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שירות חודשי, כאמור בסעיף 28, יצורפו לתקופת שירות המילואים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השנתי, ובלבד שבאותה שנה, ייקרא יוצא הצבא לשירות, לצורכי אימונים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והכשרה, לתקופה שלא תפחת מהתקופה שצורפה; צורפו ימי השירות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 כאמור, יופחת מספרם מסך ימי שירות המילואים החודשי בשנה,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28(3).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28(1) ובסעיף קטן (ב), רשאי מוסמך להורות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עד שישה ימי שירות חודשי, כאמור בסעיף 28, של יוצא צבא שהוא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קצין, או של יוצא צבא שהוא נגד הממלא תפקיד פיקודי במפקדת יחידה,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יצורפו לתקופת שירות המילואים השנתי שאליה נקרא, ובלבד שבאותה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ייקרא יוצא צבא כאמור לשירות, לצורכי אימונים והכשרה, לתקופה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תפחת מהתקופה שצורפה; צורפו ימי שירות חודשי כאמור, יופחת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מספרם מסך ימי שירות המילואים החודשי בשנה, כאמור בסעיף 28(3).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שירות מילואים שנתי, כמפורט בסעיף קטן (א), יהיה רצוף,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מוסמך רשאי להורות כי תקופת שירות המילואים השנתי של יוצא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צבא, בשנה מסוימת, תחולק לשניים או לשלושה, ואולם אם הסכים לכך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 הצבא בכתב - ניתן לחלקה אף לארבעה או ליותר.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במניין תקופת שירות המילואים יבואו ימי המנוחה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בפקודת סדרי השלטון והמשפט, התש"ח-1948 3, וכן ימים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שבהם, על פי פקודות הצבא, אין לשחרר יוצאי צבא משירות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מילואים; ואולם לעניין סמכות הקריאה לפי סעיף קטן (א), לא יבוא במניין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השירות, יום כאמור, אם הוא היום האחרון של תקופת שירות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 המרבית.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(ו) נוכח ראש המטה הכללי של צבא הגנה לישראל (להלן -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הרמטכ"ל), כי קיימים צרכים בטחוניים דחופים או צרכים בלתי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צפויים, רשאי הוא, מנימוקים שיירשמו ובאישור שר הבטחון,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למוסמך לקרוא לשירות מילואים, יוצאי צבא הנמנים</w:t>
                        </w:r>
                      </w:p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יחידות, תפקידים או מקצועות שייקבעו על ידו, ובלבד</w:t>
                        </w:r>
                      </w:p>
                    </w:tc>
                    <w:tc>
                      <w:tcPr>
                        <w:tcW w:w="872" w:type="pct"/>
                      </w:tcPr>
                      <w:p w:rsidR="005D300D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-שירות מילואים</w:t>
                        </w:r>
                      </w:p>
                      <w:p w:rsidR="005D300D" w:rsidRPr="00C00063" w:rsidRDefault="005D300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</w:t>
                        </w:r>
                      </w:p>
                    </w:tc>
                  </w:tr>
                </w:tbl>
                <w:p w:rsidR="005D300D" w:rsidRDefault="005D30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225DF" w:rsidRDefault="000225DF">
      <w:pPr>
        <w:rPr>
          <w:rtl/>
        </w:rPr>
      </w:pPr>
      <w:r>
        <w:rPr>
          <w:rtl/>
        </w:rPr>
        <w:br w:type="page"/>
      </w:r>
    </w:p>
    <w:p w:rsidR="000225DF" w:rsidRDefault="00000000">
      <w:pPr>
        <w:rPr>
          <w:rtl/>
        </w:rPr>
      </w:pPr>
      <w:r>
        <w:pict>
          <v:shape id="_x0000_s4773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734" inset="0,0,0,0">
              <w:txbxContent>
                <w:p w:rsidR="005D300D" w:rsidRDefault="005D300D">
                  <w:r>
                    <w:rPr>
                      <w:rtl/>
                    </w:rPr>
                    <w:t>38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35" o:spid="_x0000_s1033" type="#_x0000_t202" style="position:absolute;left:0;text-align:left;margin-left:85.65pt;margin-top:710.4pt;width:195.45pt;height:32.25pt;z-index:9;mso-position-horizontal-relative:page;mso-position-vertical-relative:page" stroked="f">
            <v:textbox style="mso-next-textbox:#_x0000_s47735" inset="0,0,0,0">
              <w:txbxContent>
                <w:p w:rsidR="005D300D" w:rsidRDefault="005D30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736" o:spid="_x0000_s1034" type="#_x0000_t202" style="position:absolute;left:0;text-align:left;margin-left:78.15pt;margin-top:60.35pt;width:466.9pt;height:626.1pt;z-index:8;mso-position-horizontal-relative:page;mso-position-vertical-relative:page" stroked="f">
            <v:textbox style="mso-next-textbox:#_x0000_s477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7"/>
                    <w:gridCol w:w="1267"/>
                    <w:gridCol w:w="1336"/>
                  </w:tblGrid>
                  <w:tr w:rsidR="005D300D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ששירות לפי סעיף זה לא יעלה על שבעה ימים מעבר לתקופת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המילואים המרבית על פי חוק זה.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קריאה לפי פסקה (ו) תובא לידיעת ועדת משנה של ועדת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והבטחון של הכנסת, שועדת החוץ והבטחון הסמיכה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תוך 48 שעות ממועד הינתנה; במניין תקופה זו לא יבואו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מנוחה, פגרה או שבתון על פי חיקוק; ביקשה ועדת המשנה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דיון בקריאה שהובאה בפניה - רשאית היא לזמן לדיון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הרמטכ"ל או את נציגו.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הבטחון רשאי להורות, בתקנות, כי תקופת שירות המילואים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יוצאי צבא, בתפקידים ובמקצועות שייקבעו על ידו, תעלה על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התקופות האמורות בסעיפים קטנים (א) עד (ג), אם התקיים אחד מאלה: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יש צורך בתקופות אימון והכשרה ארוכות יותר, לשם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הרמה המקצועית של בעל התפקיד;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קיים חוסר בכוח אדם באותם תפקידים או מקצועות;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התפקיד או המקצוע נדרש לפעולות חירום שבהן אין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אפשרות לצפות מראש את משך השירות הנדרש;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לפי סעיף קטן זה טעונות אישורה של ועדת החוץ והבטחון של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7" w:type="pc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00D" w:rsidRPr="000225DF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29 לחוק העיקרי יבוא.-</w:t>
                        </w:r>
                      </w:p>
                    </w:tc>
                    <w:tc>
                      <w:tcPr>
                        <w:tcW w:w="787" w:type="pct"/>
                        <w:vMerge w:val="restar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5D300D" w:rsidRPr="000225DF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 ו-29ב</w:t>
                        </w:r>
                      </w:p>
                    </w:tc>
                  </w:tr>
                  <w:tr w:rsidR="005D300D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תקופת שירות המילואים במקום שירות סדיר, כאמור בסעיף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27(ב), היא עד ארבעה חודשים.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שירות מילואים במקום שירות סדיר יהיה רצוף, ואולם רשאי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להורות כי תקופת שירות מילואים במקום שירות סדיר של יוצא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תחולק לשניים או לשלושה, באותה שנה או בשנים אחדות; הסכים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יוצא הצבא, בכתב, ניתן לחלקה אף לארבעה או ליותר.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-שירות מילואים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שירות</w:t>
                        </w:r>
                      </w:p>
                      <w:p w:rsidR="005D300D" w:rsidRPr="000225DF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</w:t>
                        </w:r>
                      </w:p>
                    </w:tc>
                    <w:tc>
                      <w:tcPr>
                        <w:tcW w:w="787" w:type="pct"/>
                        <w:vMerge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00D">
                    <w:trPr>
                      <w:jc w:val="right"/>
                    </w:trPr>
                    <w:tc>
                      <w:tcPr>
                        <w:tcW w:w="3467" w:type="pc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(א) יוצא צבא, שמלאו לו ארבעים ואחת שנים, המשרת שירות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ביחידה קרבית, כהגדרתה בפקודות הצבא, ואשר שירת שירות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ביחידה כאמור תקופה כוללת של עשר שנים לפחות. לא ייקרא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מילואים לצורך ביצוע תעסוקה מבצעית, אלא אם כן נתן הסכמתו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או שהוא נמנה עם בעלי מקצועות ותפקידים חיוניים או שקיים בהם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חוסר בכוח אדם, כפי שקבע הרמטכ"ל באישור ועדת החוץ והבטחון של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יוצא צבא שמלאו לו ארבעים ושמונה שנים, אשר שירת שירות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ביחידה קרבית באמור בסעיף קטן (א), תקופה כוללת של עשרים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לפחות, לא ייקרא לשירות מילואים אלא אם כן נתן הסכמתו לכך, או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נמנה עם בעלי מקצועות ותפקידים חיוניים או שקיים בהם חוסר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בכוח אדם, כפי שקבע הרמטכ"ל באישור ועדת החוץ והבטחון של</w:t>
                        </w:r>
                      </w:p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5D300D" w:rsidRPr="000225DF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קריאה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D300D" w:rsidRDefault="005D300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00D" w:rsidRPr="000225DF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5D300D" w:rsidRPr="000225DF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30 לחוק העיקרי - בטל.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5D300D" w:rsidRPr="000225DF" w:rsidRDefault="005D300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30</w:t>
                        </w:r>
                      </w:p>
                    </w:tc>
                  </w:tr>
                </w:tbl>
                <w:p w:rsidR="005D300D" w:rsidRDefault="005D300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27AC4" w:rsidRDefault="00027AC4">
      <w:pPr>
        <w:rPr>
          <w:rtl/>
        </w:rPr>
      </w:pPr>
      <w:r>
        <w:rPr>
          <w:rtl/>
        </w:rPr>
        <w:br w:type="page"/>
      </w:r>
    </w:p>
    <w:p w:rsidR="00027AC4" w:rsidRDefault="00000000">
      <w:pPr>
        <w:rPr>
          <w:rtl/>
        </w:rPr>
      </w:pPr>
      <w:r>
        <w:pict>
          <v:shape id="_x0000_s4773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737" inset="0,0,0,0">
              <w:txbxContent>
                <w:p w:rsidR="005D300D" w:rsidRDefault="005D300D">
                  <w:r>
                    <w:rPr>
                      <w:rtl/>
                    </w:rPr>
                    <w:t>39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38" o:spid="_x0000_s1036" type="#_x0000_t202" style="position:absolute;left:0;text-align:left;margin-left:338.55pt;margin-top:634.4pt;width:223.55pt;height:103.95pt;z-index:12;mso-position-horizontal-relative:page;mso-position-vertical-relative:page" stroked="f">
            <v:textbox style="mso-next-textbox:#_x0000_s47738" inset="0,0,0,0">
              <w:txbxContent>
                <w:p w:rsidR="005D300D" w:rsidRDefault="005D300D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4 ס''ח התשמ"ה, עמ' 60.</w:t>
                  </w:r>
                </w:p>
                <w:p w:rsidR="005D300D" w:rsidRDefault="005D300D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6, התשכ''ה, עמ' .120</w:t>
                  </w:r>
                </w:p>
                <w:p w:rsidR="005D300D" w:rsidRDefault="005D300D">
                  <w:pPr>
                    <w:pStyle w:val="OCRStyle4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6 ס"ח התשנ'ה, עמ' 210.</w:t>
                  </w:r>
                </w:p>
                <w:p w:rsidR="005D300D" w:rsidRPr="00027AC4" w:rsidRDefault="005D300D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7 ס'ח התשנ''ד,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39" o:spid="_x0000_s1037" type="#_x0000_t202" style="position:absolute;left:0;text-align:left;margin-left:83.5pt;margin-top:67.5pt;width:469.45pt;height:561.9pt;z-index:11;mso-position-horizontal-relative:page;mso-position-vertical-relative:page" stroked="f">
            <v:textbox style="mso-next-textbox:#_x0000_s4773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2"/>
                    <w:gridCol w:w="5828"/>
                    <w:gridCol w:w="1135"/>
                  </w:tblGrid>
                  <w:tr w:rsidR="005D300D" w:rsidRPr="00027AC4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5D300D" w:rsidRPr="00027AC4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</w:tc>
                    <w:tc>
                      <w:tcPr>
                        <w:tcW w:w="4079" w:type="pct"/>
                        <w:gridSpan w:val="2"/>
                      </w:tcPr>
                      <w:p w:rsidR="005D300D" w:rsidRPr="00027AC4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33 לחוק העיקרי יבוא:</w:t>
                        </w:r>
                      </w:p>
                    </w:tc>
                  </w:tr>
                  <w:tr w:rsidR="005D300D" w:rsidRPr="00027AC4">
                    <w:trPr>
                      <w:jc w:val="right"/>
                    </w:trPr>
                    <w:tc>
                      <w:tcPr>
                        <w:tcW w:w="921" w:type="pct"/>
                      </w:tcPr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4" w:type="pct"/>
                      </w:tcPr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53א. (א) שירת אדם שירות מילואים לפי חוק זה, יהיה זכאי, בנוסף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אחרים שלהם הוא זכאי על פי דין, לתגמול מיוחד, בהתאם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שייקבעו בפקודות הצבא (להלן - תגמול מיוחד).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הזכאות לתגמול המיוחד, לרבות משך תקופת שירות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 המזכה, סוגי היחידות שהשירות בהם מזכה בתגמול, שיעוריו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ביצוע התשלום, ייקבעו בפקודות הצבא.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מימון התגמול המיוחד יהיה מאוצר המדינה, והחל בשנת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1999, ייווסף לבסיס תקציב הבטחון, כמשמעותו בפרק ג' לחוק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התקציב, התשמ"ה-1985 4;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המסגרת התקציבית שמתוכה ימומן התגמול המיוחד,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(ו), תעמוד על סך 30 מיליון שקלים חדשים;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זה יעודכן ב-16 פברואר של כל שנה, בהתאם לשיעור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החדש לעומת המדד הבסיסי; לעניין זה -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לסטטיסטיקה;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החדש" - מדד חודש ינואר של כל שנה;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"המדד הבסיסי" - מדד חורש יולי 1997;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(2), רשאי שר האוצר, בהסכמת שר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לקבוע סכום העולה על הסכום שבפסקה האמורה,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וזאת במסגרת קביעת תקציב המדינה השנתי.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מסכום התגמול המיוחד ניתן לקזז את הסכומים שאותם חב מי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שזכאי לתגמול המיוחד, עקב שירותו הצבאי.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(0 על אף הוראות כל דין, לא יראו את תשלום התגמול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 -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כהכנסה, כהגדרתה בסעיף 1 לפקודת מס הכנסה5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הפקודה);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כהכנסה לעניין חוק הביטוח הלאומי [נוסח משולב],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 6 ;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בהכנסה לעניין חוק ביטוח בריאות ממלכתי,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התשנ"ד-71994.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מקבל התגמול המיוחד חייב במס הכנסה בשיעור של 25%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המס המיוחד), ללא זכות לניכוי, לקיזוז, לפטור או</w:t>
                        </w:r>
                      </w:p>
                      <w:p w:rsidR="005D300D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להפחתה כלשהם.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5D300D" w:rsidRPr="00027AC4" w:rsidRDefault="005D300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מיוחד</w:t>
                        </w:r>
                      </w:p>
                    </w:tc>
                  </w:tr>
                </w:tbl>
                <w:p w:rsidR="005D300D" w:rsidRDefault="005D300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8025F" w:rsidRDefault="0088025F">
      <w:pPr>
        <w:rPr>
          <w:rtl/>
        </w:rPr>
      </w:pPr>
      <w:r>
        <w:rPr>
          <w:rtl/>
        </w:rPr>
        <w:br w:type="page"/>
      </w:r>
    </w:p>
    <w:p w:rsidR="0088025F" w:rsidRDefault="00000000">
      <w:pPr>
        <w:rPr>
          <w:rtl/>
        </w:rPr>
      </w:pPr>
      <w:r>
        <w:pict>
          <v:shape id="_x0000_s4774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7740" inset="0,0,0,0">
              <w:txbxContent>
                <w:p w:rsidR="005D300D" w:rsidRDefault="005D300D">
                  <w:r>
                    <w:rPr>
                      <w:rtl/>
                    </w:rPr>
                    <w:t>40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41" o:spid="_x0000_s1039" type="#_x0000_t202" style="position:absolute;left:0;text-align:left;margin-left:78.65pt;margin-top:650.65pt;width:396pt;height:92.45pt;z-index:15;mso-position-horizontal-relative:page;mso-position-vertical-relative:page" stroked="f">
            <v:textbox style="mso-next-textbox:#_x0000_s47741" inset="0,0,0,0">
              <w:txbxContent>
                <w:p w:rsidR="005D300D" w:rsidRPr="0088025F" w:rsidRDefault="005D300D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* ס-ח התש'ט, עמ' 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42" o:spid="_x0000_s1040" type="#_x0000_t202" style="position:absolute;left:0;text-align:left;margin-left:77.05pt;margin-top:59.2pt;width:477.6pt;height:587.25pt;z-index:14;mso-position-horizontal-relative:page;mso-position-vertical-relative:page" stroked="f">
            <v:textbox style="mso-next-textbox:#_x0000_s4774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559"/>
                  </w:tblGrid>
                  <w:tr w:rsidR="005D300D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בשעת תשלום התגמול המיוחד, ינכה ממנו המשלם את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המיוחד וישלמו לפקיד השומה, כהגדרתו בפקודה, בצירוף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שיגיש באותו המועד.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יראו את המס המיוחד כמס הכנסה לעניין שומה, גביה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ועונשין לפי הפקודה-, על ניכוי המס המיוחד יחולו הוראות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164 לפקודה, כאילו היה ניכוי מס שהמשלם חייב בו.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שר האוצר רשאי, בהסכמת שר הבטחון, להתקין תקנות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 סעיף קטן זה.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ישולם תגמול מיוחד לאחר שלוש שנים מתום השנה שבה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אדם בשירות המילואים אשר זיבה אותו בתגמול המיוחד.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הזכות לתגמול המיוחד אינה ניתנת להעברה, לשעבוד או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 בכל דרך שהיא."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D300D" w:rsidRPr="0088025F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34 לחוק העיקרי -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אחרי "שר הבטחון רשאי" יבוא "בנסיבות חירום,'';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(2) יבוא: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להסמיך, בצו, פוקד או מוסמך, לקרוא ליוצא צבא להתייצב ולשרת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כאמור.";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צו של שר הבטחון להתייצב לשירות סדיר או לשירות מילואים, שניתן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(א)(1), וכן צו של פוקד או של מוסמך, שניתן על פי סעיף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(א)(2), יובאו על ידי שר הבטחון, בהקדם ככל האפשר אחרי הינתנם,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ועדת החוץ והבטחון של הכנסת."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5D300D" w:rsidRPr="0088025F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4נ</w:t>
                        </w:r>
                      </w:p>
                    </w:tc>
                  </w:tr>
                  <w:tr w:rsidR="005D300D" w:rsidRPr="0088025F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55(ה) לחוק העיקרי, אחרי פסקה (4) יבוא: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אם הוא נשלח אליו בדואר לפי מען מקום מגוריו הקבוע, במשמעותו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- בתום שבעים ושתיים שעות מזמן שנמסר לדואר למשלוח, אם לא הוכח</w:t>
                        </w:r>
                      </w:p>
                      <w:p w:rsidR="005D300D" w:rsidRPr="0088025F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5D300D" w:rsidRPr="0088025F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5D300D" w:rsidRPr="0088025F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חיילים משוחררים (החזרה לעבודה), התש"ט-81949 -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14 -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)א( אחרי סעיף קטן (ב)(3) יבוא: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אדם שמת בהיותו בשירות מילואים, כמשמעותו בחוק שירות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[נוסח משולב], התשמ"ו-1986 (להלן - שירות מילואים);";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אחרי סעיף קטן (ג)(2) יבוא:</w:t>
                        </w:r>
                      </w:p>
                      <w:p w:rsidR="005D300D" w:rsidRPr="0088025F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לגבי אדם בשירות מילואים - שעת שירותו במילואים.";</w:t>
                        </w:r>
                      </w:p>
                    </w:tc>
                    <w:tc>
                      <w:tcPr>
                        <w:tcW w:w="898" w:type="pct"/>
                      </w:tcPr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משוחררים</w:t>
                        </w:r>
                      </w:p>
                      <w:p w:rsidR="005D300D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 -</w:t>
                        </w:r>
                      </w:p>
                      <w:p w:rsidR="005D300D" w:rsidRPr="0088025F" w:rsidRDefault="005D300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11</w:t>
                        </w:r>
                      </w:p>
                    </w:tc>
                  </w:tr>
                </w:tbl>
                <w:p w:rsidR="005D300D" w:rsidRDefault="005D300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D300D" w:rsidRDefault="005D300D">
      <w:pPr>
        <w:rPr>
          <w:rtl/>
        </w:rPr>
      </w:pPr>
      <w:r>
        <w:rPr>
          <w:rtl/>
        </w:rPr>
        <w:br w:type="page"/>
      </w:r>
    </w:p>
    <w:p w:rsidR="005D300D" w:rsidRDefault="00000000">
      <w:pPr>
        <w:rPr>
          <w:rtl/>
        </w:rPr>
      </w:pPr>
      <w:r>
        <w:pict>
          <v:shape id="_x0000_s47743" o:spid="_x0000_s1041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47743" inset="0,0,0,0">
              <w:txbxContent>
                <w:p w:rsidR="005D300D" w:rsidRDefault="005D300D">
                  <w:r>
                    <w:rPr>
                      <w:rtl/>
                    </w:rPr>
                    <w:t>41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44" o:spid="_x0000_s1042" type="#_x0000_t202" style="position:absolute;left:0;text-align:left;margin-left:338.7pt;margin-top:707.6pt;width:212.85pt;height:30.5pt;z-index:23;mso-position-horizontal-relative:page;mso-position-vertical-relative:page" stroked="f">
            <v:textbox style="mso-next-textbox:#_x0000_s47744" inset="0,0,0,0">
              <w:txbxContent>
                <w:p w:rsidR="005D300D" w:rsidRDefault="005D300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7745" o:spid="_x0000_s1043" type="#_x0000_t202" style="position:absolute;left:0;text-align:left;margin-left:426.05pt;margin-top:620.25pt;width:121.35pt;height:27.9pt;z-index:22;mso-position-horizontal-relative:page;mso-position-vertical-relative:page" stroked="f">
            <v:textbox style="mso-next-textbox:#_x0000_s47745" inset="0,0,0,0">
              <w:txbxContent>
                <w:p w:rsidR="005D300D" w:rsidRPr="005D300D" w:rsidRDefault="005D300D">
                  <w:pPr>
                    <w:pStyle w:val="OCRStyle6"/>
                    <w:ind w:left="263"/>
                  </w:pPr>
                  <w:r>
                    <w:rPr>
                      <w:rtl/>
                    </w:rPr>
                    <w:t>* ס"ח התשמ-ח עמ 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46" o:spid="_x0000_s1044" type="#_x0000_t202" style="position:absolute;left:0;text-align:left;margin-left:165.45pt;margin-top:529.4pt;width:84.15pt;height:34.45pt;z-index:21;mso-position-horizontal-relative:page;mso-position-vertical-relative:page" stroked="f">
            <v:textbox style="mso-next-textbox:#_x0000_s47746" inset="0,0,0,0">
              <w:txbxContent>
                <w:p w:rsidR="005D300D" w:rsidRDefault="005D300D">
                  <w:pPr>
                    <w:pStyle w:val="OCRStyle6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5D300D" w:rsidRDefault="005D300D">
                  <w:pPr>
                    <w:pStyle w:val="OCRStyle6"/>
                    <w:ind w:left="36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47" o:spid="_x0000_s1045" type="#_x0000_t202" style="position:absolute;left:0;text-align:left;margin-left:256.95pt;margin-top:555.7pt;width:85.15pt;height:35.45pt;z-index:20;mso-position-horizontal-relative:page;mso-position-vertical-relative:page" stroked="f">
            <v:textbox style="mso-next-textbox:#_x0000_s47747" inset="0,0,0,0">
              <w:txbxContent>
                <w:p w:rsidR="005D300D" w:rsidRDefault="005D300D">
                  <w:pPr>
                    <w:pStyle w:val="OCRStyle6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D300D" w:rsidRDefault="005D300D">
                  <w:pPr>
                    <w:pStyle w:val="OCRStyle6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48" o:spid="_x0000_s1046" type="#_x0000_t202" style="position:absolute;left:0;text-align:left;margin-left:350.2pt;margin-top:528.4pt;width:97.4pt;height:30.7pt;z-index:19;mso-position-horizontal-relative:page;mso-position-vertical-relative:page" stroked="f">
            <v:textbox style="mso-next-textbox:#_x0000_s47748" inset="0,0,0,0">
              <w:txbxContent>
                <w:p w:rsidR="005D300D" w:rsidRDefault="005D300D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 ו</w:t>
                  </w:r>
                </w:p>
                <w:p w:rsidR="005D300D" w:rsidRDefault="005D300D">
                  <w:pPr>
                    <w:pStyle w:val="OCRStyle6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49" o:spid="_x0000_s1047" type="#_x0000_t202" style="position:absolute;left:0;text-align:left;margin-left:454.15pt;margin-top:555.7pt;width:79.2pt;height:36.25pt;z-index:18;mso-position-horizontal-relative:page;mso-position-vertical-relative:page" stroked="f">
            <v:textbox style="mso-next-textbox:#_x0000_s47749" inset="0,0,0,0">
              <w:txbxContent>
                <w:p w:rsidR="005D300D" w:rsidRDefault="005D300D">
                  <w:pPr>
                    <w:pStyle w:val="OCRStyle6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D300D" w:rsidRDefault="005D300D">
                  <w:pPr>
                    <w:pStyle w:val="OCRStyle6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50" o:spid="_x0000_s1048" type="#_x0000_t202" style="position:absolute;left:0;text-align:left;margin-left:77.15pt;margin-top:58.15pt;width:476pt;height:462.9pt;z-index:17;mso-position-horizontal-relative:page;mso-position-vertical-relative:page" stroked="f">
            <v:textbox style="mso-next-textbox:#_x0000_s4775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5126"/>
                    <w:gridCol w:w="2073"/>
                  </w:tblGrid>
                  <w:tr w:rsidR="005D300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41 יבוא</w:t>
                        </w:r>
                      </w:p>
                    </w:tc>
                  </w:tr>
                  <w:tr w:rsidR="005D300D" w:rsidRPr="005D300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2" w:type="pct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ו4א (א) היעדרותו של עובד מעבודתו לרגל שירות מילואים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תיראה כהפסקה ברציפות עבודתו במפעל ואם פיטר בעל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עובד בשל שירותו במילואים בטלים הפיטורים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יפטר בעל מפעל עובד בתקופת היותו בשירות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אלא בהיתר מאת ועדת התעסוקה ועדת תעסוקה שהיא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 רשאית לתת היתר כללי לעניין סעיף קטן זה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במניין ימי ההודעה המוקדמת לפיטורים לא יבואו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הימים שבהם נמצא העובד בשירות מילואים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בהליך לפני ועדת התעסוקה לפי סעיף 21 על בעל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הראיה שהפיטורים כאמור בסעיף קטן (א) היו בשל טעם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שירותו של העובר במילואים</w:t>
                        </w:r>
                      </w:p>
                    </w:tc>
                    <w:tc>
                      <w:tcPr>
                        <w:tcW w:w="1198" w:type="pct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עובד</w:t>
                        </w:r>
                      </w:p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המשרת במילואים</w:t>
                        </w:r>
                      </w:p>
                    </w:tc>
                  </w:tr>
                  <w:tr w:rsidR="005D300D" w:rsidRPr="005D300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42(א) במקום או בשירות חלקי יבוא בשירות חלקי או בשירות</w:t>
                        </w:r>
                      </w:p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מילואים"</w:t>
                        </w:r>
                      </w:p>
                    </w:tc>
                  </w:tr>
                  <w:tr w:rsidR="005D300D" w:rsidRPr="005D300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שוויון ההזדמנויות</w:t>
                        </w:r>
                      </w:p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בעבורה - מס 4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בחוק שוויון ההזדמנויות בעבודה התשמ ח-91988 בסעיף 2(א) ברישה במקום או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מפלגתם יבוא מפלגתם או משך שירות המילואים כמשמעותו בחוק שירות בטחון [נוסח</w:t>
                        </w:r>
                      </w:p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התשמ ו-1986 הצפוי להם</w:t>
                        </w:r>
                      </w:p>
                    </w:tc>
                  </w:tr>
                  <w:tr w:rsidR="005D300D" w:rsidRPr="005D300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תחילתו של חוק זה למעט סעיפים 28(3) לחוק העיקרי כנוסחו בסעיף 4 לחוק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29 לחוק העיקרי כנוסחו בסעיף 5 לחוק זה 29ב(א) לחוק העיקרי כנוסחו בסעיף 6 לחוק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ו-34 לחוק העיקרי כנוסחו בסעיף 9 לחוק זה ביום ג בטבת התשנ ח (1 בינואר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28(3) לחוק העיקרי כנוסחו בסעיף 4 לחוק זה 29 לחוק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כנוסחו בסעיף 5 לחוק זה ו-34 לחוק העיקרי בנוסחו בסעיף 9 לחוק זה ביום י"ג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 ט (ו בינואר 999 0</w:t>
                        </w:r>
                      </w:p>
                      <w:p w:rsid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29ב(א) לחוק העיקרי, כנוסחו בסעיף 6 לחוק זה ביום ו' בטבת</w:t>
                        </w:r>
                      </w:p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התשס א (ו בינואר 2001)</w:t>
                        </w:r>
                      </w:p>
                    </w:tc>
                  </w:tr>
                  <w:tr w:rsidR="005D300D" w:rsidRPr="005D300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60" w:type="pct"/>
                        <w:gridSpan w:val="2"/>
                      </w:tcPr>
                      <w:p w:rsidR="005D300D" w:rsidRDefault="005D300D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14. צו לפי סעיף 34 לחוק העיקרי שניתן לפני תחילתו של חוק זה, יוסיף לעמוד בתוקף</w:t>
                        </w:r>
                      </w:p>
                      <w:p w:rsidR="005D300D" w:rsidRPr="005D300D" w:rsidRDefault="005D300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יוצא צבא שנקרא לשירות בטחון על פיו או מכוחו</w:t>
                        </w:r>
                      </w:p>
                    </w:tc>
                  </w:tr>
                </w:tbl>
                <w:p w:rsidR="005D300D" w:rsidRDefault="005D300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45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577CF2-2E16-41B8-86E1-D2FF661C0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453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0006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225D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27AC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8025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D30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2008-04-07T10:33:00Z</dcterms:created>
  <dcterms:modified xsi:type="dcterms:W3CDTF">2008-04-07T10:34:00Z</dcterms:modified>
</cp:coreProperties>
</file>