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4C25" w:rsidRDefault="006A4C25">
      <w:pPr>
        <w:rPr>
          <w:rtl/>
        </w:rPr>
      </w:pPr>
    </w:p>
    <w:p w:rsidR="006A4C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9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974" inset="0,0,0,0">
              <w:txbxContent>
                <w:p w:rsidR="00BA010D" w:rsidRDefault="00BA010D">
                  <w:r>
                    <w:rPr>
                      <w:rtl/>
                    </w:rPr>
                    <w:t>115                                         ספר החוקים 1650                    ט' בשבט התשנ"ח 05.02.1998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5" o:spid="_x0000_s1026" type="#_x0000_t202" style="position:absolute;left:0;text-align:left;margin-left:154.8pt;margin-top:661.8pt;width:381.15pt;height:85.95pt;z-index:3;mso-position-horizontal-relative:page;mso-position-vertical-relative:page" stroked="f">
            <v:textbox style="mso-next-textbox:#_x0000_s47975" inset="0,0,0,0">
              <w:txbxContent>
                <w:p w:rsidR="00BA010D" w:rsidRDefault="00BA010D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בשבט התשנ-ח (2 בפברואר 1998); הצעת החוק ודברי הסבר פורסמו בהצעות חוק</w:t>
                  </w:r>
                </w:p>
                <w:p w:rsidR="00BA010D" w:rsidRDefault="00BA010D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2656, מיום ג' בחשון התשנ'ח (ג בנובמבר 1997), עמ' 92.</w:t>
                  </w:r>
                </w:p>
                <w:p w:rsidR="00BA010D" w:rsidRPr="006A4C25" w:rsidRDefault="00BA010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ס''ח התשי"א, עמ' 228; התשנ-ה, עמ' 350 ועמ' 446; התשנ"ז, עמ' 2 ו ועמ'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6" o:spid="_x0000_s1027" type="#_x0000_t202" style="position:absolute;left:0;text-align:left;margin-left:76.55pt;margin-top:576.1pt;width:464.3pt;height:75.05pt;z-index:2;mso-position-horizontal-relative:page;mso-position-vertical-relative:page" stroked="f">
            <v:textbox style="mso-next-textbox:#_x0000_s4797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96"/>
                  </w:tblGrid>
                  <w:tr w:rsidR="00BA010D" w:rsidRPr="006A4C25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A010D" w:rsidRPr="006A4C25" w:rsidRDefault="00BA0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13א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BA010D" w:rsidRDefault="00BA0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חסינות חברי הכנסת, זכויותיהם וחובותיהם, התשיי'א-1951 1 (להלן - החוק</w:t>
                        </w:r>
                      </w:p>
                      <w:p w:rsidR="00BA010D" w:rsidRDefault="00BA0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15א(ב), במקום "אם יש בעיסוק אחד מאלה:" יבוא "ולא יכהן כנבחר ציבור</w:t>
                        </w:r>
                      </w:p>
                      <w:p w:rsidR="00BA010D" w:rsidRPr="006A4C25" w:rsidRDefault="00BA0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13א(א1) אם יש בעיסוק או בכהונה כנבחר ציבור כאמור אחר מאלה:".</w:t>
                        </w:r>
                      </w:p>
                    </w:tc>
                  </w:tr>
                  <w:tr w:rsidR="00BA010D" w:rsidRPr="006A4C25">
                    <w:trPr>
                      <w:jc w:val="right"/>
                    </w:trPr>
                    <w:tc>
                      <w:tcPr>
                        <w:tcW w:w="797" w:type="pct"/>
                      </w:tcPr>
                      <w:p w:rsidR="00BA010D" w:rsidRPr="006A4C25" w:rsidRDefault="00BA0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13א1</w:t>
                        </w:r>
                      </w:p>
                    </w:tc>
                    <w:tc>
                      <w:tcPr>
                        <w:tcW w:w="4203" w:type="pct"/>
                      </w:tcPr>
                      <w:p w:rsidR="00BA010D" w:rsidRPr="006A4C25" w:rsidRDefault="00BA01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13א1 לחוק העיקרי, אחרי סעיף קטן (א) יבוא:</w:t>
                        </w:r>
                      </w:p>
                    </w:tc>
                  </w:tr>
                </w:tbl>
                <w:p w:rsidR="00BA010D" w:rsidRDefault="00BA01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977" o:spid="_x0000_s1028" type="#_x0000_t202" style="position:absolute;left:0;text-align:left;margin-left:177.95pt;margin-top:535.7pt;width:327.5pt;height:34.65pt;z-index:1;mso-position-horizontal-relative:page;mso-position-vertical-relative:page" stroked="f">
            <v:textbox style="mso-next-textbox:#_x0000_s47977" inset="0,0,0,0">
              <w:txbxContent>
                <w:p w:rsidR="00BA010D" w:rsidRDefault="00BA010D">
                  <w:pPr>
                    <w:pStyle w:val="OCRStyle1"/>
                    <w:ind w:left="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חסינות חברי הכנסת, זכויותיהם וחובותיהם (תיקון מס' 20),</w:t>
                  </w:r>
                </w:p>
                <w:p w:rsidR="00BA010D" w:rsidRPr="006A4C25" w:rsidRDefault="00BA010D">
                  <w:pPr>
                    <w:pStyle w:val="OCRStyle1"/>
                    <w:ind w:left="222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BA010D" w:rsidRDefault="00BA010D">
      <w:pPr>
        <w:rPr>
          <w:rtl/>
        </w:rPr>
      </w:pPr>
      <w:r>
        <w:rPr>
          <w:rtl/>
        </w:rPr>
        <w:br w:type="page"/>
      </w:r>
    </w:p>
    <w:p w:rsidR="00BA010D" w:rsidRDefault="00000000">
      <w:pPr>
        <w:rPr>
          <w:rtl/>
        </w:rPr>
      </w:pPr>
      <w:r>
        <w:pict>
          <v:shape id="_x0000_s4797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978" inset="0,0,0,0">
              <w:txbxContent>
                <w:p w:rsidR="00BA010D" w:rsidRDefault="00BA010D">
                  <w:r>
                    <w:rPr>
                      <w:rtl/>
                    </w:rPr>
                    <w:t>116                                         ספר החוקים 1650                    ט' בשבט התשנ"ח 05.02.1998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79" o:spid="_x0000_s1030" type="#_x0000_t202" style="position:absolute;left:0;text-align:left;margin-left:92.1pt;margin-top:711.8pt;width:221.15pt;height:43.75pt;z-index:9;mso-position-horizontal-relative:page;mso-position-vertical-relative:page" stroked="f">
            <v:textbox style="mso-next-textbox:#_x0000_s47979" inset="0,0,0,0">
              <w:txbxContent>
                <w:p w:rsidR="00BA010D" w:rsidRDefault="00BA010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980" o:spid="_x0000_s1031" type="#_x0000_t202" style="position:absolute;left:0;text-align:left;margin-left:106.15pt;margin-top:241.75pt;width:94.85pt;height:37.05pt;z-index:8;mso-position-horizontal-relative:page;mso-position-vertical-relative:page" stroked="f">
            <v:textbox style="mso-next-textbox:#_x0000_s47980" inset="0,0,0,0">
              <w:txbxContent>
                <w:p w:rsidR="00BA010D" w:rsidRDefault="00BA010D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BA010D" w:rsidRDefault="00BA010D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1" o:spid="_x0000_s1032" type="#_x0000_t202" style="position:absolute;left:0;text-align:left;margin-left:243pt;margin-top:214.4pt;width:99pt;height:31.3pt;z-index:7;mso-position-horizontal-relative:page;mso-position-vertical-relative:page" stroked="f">
            <v:textbox style="mso-next-textbox:#_x0000_s47981" inset="0,0,0,0">
              <w:txbxContent>
                <w:p w:rsidR="00BA010D" w:rsidRDefault="00BA010D">
                  <w:pPr>
                    <w:pStyle w:val="OCRStyle2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BA010D" w:rsidRDefault="00BA010D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2" o:spid="_x0000_s1033" type="#_x0000_t202" style="position:absolute;left:0;text-align:left;margin-left:384.95pt;margin-top:236.6pt;width:79.2pt;height:40.6pt;z-index:6;mso-position-horizontal-relative:page;mso-position-vertical-relative:page" stroked="f">
            <v:textbox style="mso-next-textbox:#_x0000_s47982" inset="0,0,0,0">
              <w:txbxContent>
                <w:p w:rsidR="00BA010D" w:rsidRDefault="00BA010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A010D" w:rsidRDefault="00BA010D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983" o:spid="_x0000_s1034" type="#_x0000_t202" style="position:absolute;left:0;text-align:left;margin-left:92.9pt;margin-top:82.35pt;width:362.95pt;height:127.9pt;z-index:5;mso-position-horizontal-relative:page;mso-position-vertical-relative:page" stroked="f">
            <v:textbox style="mso-next-textbox:#_x0000_s47983" inset="0,0,0,0">
              <w:txbxContent>
                <w:p w:rsidR="00BA010D" w:rsidRDefault="00BA010D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"(א1)(ז) הוראות סעיף קטן (א) לא יחולו על חבר הכנסת המכהן שלא בתמורה</w:t>
                  </w:r>
                </w:p>
                <w:p w:rsidR="00BA010D" w:rsidRDefault="00BA010D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כיושב ראש נבחר של גוף ציבורי שהוא אחר מאלה:</w:t>
                  </w:r>
                </w:p>
                <w:p w:rsidR="00BA010D" w:rsidRDefault="00BA010D">
                  <w:pPr>
                    <w:pStyle w:val="OCRStyle2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(א) ההסתדרות הכללית החדשה;</w:t>
                  </w:r>
                </w:p>
                <w:p w:rsidR="00BA010D" w:rsidRDefault="00BA010D">
                  <w:pPr>
                    <w:pStyle w:val="OCRStyle2"/>
                    <w:ind w:left="972"/>
                    <w:rPr>
                      <w:rtl/>
                    </w:rPr>
                  </w:pPr>
                  <w:r>
                    <w:rPr>
                      <w:rtl/>
                    </w:rPr>
                    <w:t>(ב) הסתדרות העובדים הלאומית.</w:t>
                  </w:r>
                </w:p>
                <w:p w:rsidR="00BA010D" w:rsidRDefault="00BA010D">
                  <w:pPr>
                    <w:pStyle w:val="OCRStyle2"/>
                    <w:ind w:left="587"/>
                    <w:rPr>
                      <w:rtl/>
                    </w:rPr>
                  </w:pPr>
                  <w:r>
                    <w:rPr>
                      <w:rtl/>
                    </w:rPr>
                    <w:t>(2) בסעיף קטן זה, 'תמורה'' - תמורה כספית או תמורה חומרית אחרת, לרבות</w:t>
                  </w:r>
                </w:p>
                <w:p w:rsidR="00BA010D" w:rsidRDefault="00BA010D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העמדת משרד ושירותי משרד לרשות חבר הכנסת לצרכיו הפרטיים, ולמעט</w:t>
                  </w:r>
                </w:p>
                <w:p w:rsidR="00BA010D" w:rsidRDefault="00BA010D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העמדת רכב לרשות חבר הכנסת.''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A4C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0319FD-90C2-4644-AFA4-49E44D25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A4C2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A010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2008-04-07T10:38:00Z</dcterms:created>
  <dcterms:modified xsi:type="dcterms:W3CDTF">2008-04-07T10:38:00Z</dcterms:modified>
</cp:coreProperties>
</file>