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1F35" w:rsidRDefault="003D1F35">
      <w:pPr>
        <w:rPr>
          <w:rtl/>
        </w:rPr>
      </w:pPr>
    </w:p>
    <w:p w:rsidR="003D1F3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04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048" inset="0,0,0,0">
              <w:txbxContent>
                <w:p w:rsidR="007D2EAA" w:rsidRDefault="007D2EAA">
                  <w:r>
                    <w:rPr>
                      <w:rtl/>
                    </w:rPr>
                    <w:t>138                                         ספר החוקים 1656                    ל' בשבט התשנ"ח 26.02.1998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49" o:spid="_x0000_s1026" type="#_x0000_t202" style="position:absolute;left:0;text-align:left;margin-left:84.3pt;margin-top:659.9pt;width:403.5pt;height:93.25pt;z-index:3;mso-position-horizontal-relative:page;mso-position-vertical-relative:page" stroked="f">
            <v:textbox style="mso-next-textbox:#_x0000_s48049" inset="0,0,0,0">
              <w:txbxContent>
                <w:p w:rsidR="007D2EAA" w:rsidRDefault="007D2EAA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בשבט התשנ''ח (17 בפברואר 1998) הצעת החוק ודברי הסבר פורסמו בדצעות</w:t>
                  </w:r>
                </w:p>
                <w:p w:rsidR="007D2EAA" w:rsidRDefault="007D2EAA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חוק 2651 מיום כ ו בתשרי התשנ''ח (27 באוקטובר 1997) עמ 73 ובהצעות חוק 2664 מיום ט בכסלו</w:t>
                  </w:r>
                </w:p>
                <w:p w:rsidR="007D2EAA" w:rsidRDefault="007D2EAA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התשנ ח (8 בדצמבר 1997) עמ 146</w:t>
                  </w:r>
                </w:p>
                <w:p w:rsidR="007D2EAA" w:rsidRPr="003D1F35" w:rsidRDefault="007D2EAA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1 ס"ח התשכ"ז עמ 148 התש"ן עמ 2 התשנ''ה עמ 402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50" o:spid="_x0000_s1027" type="#_x0000_t202" style="position:absolute;left:0;text-align:left;margin-left:95.2pt;margin-top:99.8pt;width:470.05pt;height:556.8pt;z-index:2;mso-position-horizontal-relative:page;mso-position-vertical-relative:page" stroked="f">
            <v:textbox style="mso-next-textbox:#_x0000_s4805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3"/>
                    <w:gridCol w:w="1214"/>
                    <w:gridCol w:w="1540"/>
                  </w:tblGrid>
                  <w:tr w:rsidR="007D2EAA" w:rsidRPr="003D1F35">
                    <w:trPr>
                      <w:jc w:val="right"/>
                    </w:trPr>
                    <w:tc>
                      <w:tcPr>
                        <w:tcW w:w="4099" w:type="pct"/>
                        <w:gridSpan w:val="2"/>
                      </w:tcPr>
                      <w:p w:rsidR="007D2EAA" w:rsidRDefault="007D2EA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הפטנטים התשכ"ז-1967 1 (להלן - החוק העיקרי), בסעיף 1, במקום ההגדרה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ניצול אמצאה יבוא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ניצול אמצאה -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אמצאה שהיא מוצר כל פעולה שהיא אחת מאלה - ייצור שימוש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הצעה למכירה מכירה או ייבוא לצורך אחת מהפעולות האמורות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אמצאה שהיא תהליך - שימוש בתהליך, ולגבי מוצר הנובע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מן התהליך - כל פעולה שהיא אחת מאלה ייצור שימוש הצעה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למכירה מכירה או ייבוא לצורך אחת מהפעולות האמורות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למעט אחת מאלה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פעולה שאינה בהיקף עסקי ואין לה אופי עסקי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פעולה נסיונית בקשר לאמצאה שמטרתה לשפר אמצאה או לפתח אמצאה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</w:t>
                        </w:r>
                      </w:p>
                      <w:p w:rsidR="007D2EAA" w:rsidRPr="003D1F35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פעולה הנעשית לפי הוראות סעיף 54א</w:t>
                        </w:r>
                      </w:p>
                    </w:tc>
                    <w:tc>
                      <w:tcPr>
                        <w:tcW w:w="901" w:type="pct"/>
                      </w:tcPr>
                      <w:p w:rsidR="007D2EAA" w:rsidRPr="003D1F35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7D2EAA" w:rsidRPr="003D1F35">
                    <w:trPr>
                      <w:jc w:val="right"/>
                    </w:trPr>
                    <w:tc>
                      <w:tcPr>
                        <w:tcW w:w="4099" w:type="pct"/>
                        <w:gridSpan w:val="2"/>
                      </w:tcPr>
                      <w:p w:rsidR="007D2EAA" w:rsidRPr="003D1F35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54 לחוק העיקרי יבוא</w:t>
                        </w:r>
                      </w:p>
                    </w:tc>
                    <w:tc>
                      <w:tcPr>
                        <w:tcW w:w="901" w:type="pct"/>
                      </w:tcPr>
                      <w:p w:rsidR="007D2EAA" w:rsidRPr="003D1F35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54א</w:t>
                        </w:r>
                      </w:p>
                    </w:tc>
                  </w:tr>
                  <w:tr w:rsidR="007D2EAA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54א פעולה נסיונית במסגרת טיפול להשגת רישוי לצורך שיווק המוצר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תום תוקפו של הפטנט אינה בגדר ניצול אמצאה אם התקיימו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שניים אלד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הטיפול לקבלת הרישוי נעשה לשם קבלת רישוי בישראל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במדינה שבה מותרת פעולה נסיונית באמצאה מוגנת פטנט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השגת רישוי לפני תום תוקפו של הפטנט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מוצר שיוצר במסגרת הוראת סעיף זה לא ישמש לכל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מטרה זולת לצורכי השגת רישוי כאמור הן בתקופת הפטנט והן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אחריה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 רישוי - אישור היתר או מסמך אחר הנדרש כדין לצורך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שיווק מוצר</w:t>
                        </w:r>
                      </w:p>
                    </w:tc>
                    <w:tc>
                      <w:tcPr>
                        <w:tcW w:w="710" w:type="pct"/>
                      </w:tcPr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נסיונית</w:t>
                        </w:r>
                      </w:p>
                      <w:p w:rsidR="007D2EAA" w:rsidRPr="003D1F35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להשגת רישוי</w:t>
                        </w:r>
                      </w:p>
                    </w:tc>
                    <w:tc>
                      <w:tcPr>
                        <w:tcW w:w="901" w:type="pct"/>
                      </w:tcPr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D2EAA" w:rsidRPr="003D1F35">
                    <w:trPr>
                      <w:jc w:val="right"/>
                    </w:trPr>
                    <w:tc>
                      <w:tcPr>
                        <w:tcW w:w="4099" w:type="pct"/>
                        <w:gridSpan w:val="2"/>
                      </w:tcPr>
                      <w:p w:rsidR="007D2EAA" w:rsidRPr="003D1F35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64 לחוק העיקרי יבוא</w:t>
                        </w:r>
                      </w:p>
                    </w:tc>
                    <w:tc>
                      <w:tcPr>
                        <w:tcW w:w="901" w:type="pct"/>
                      </w:tcPr>
                      <w:p w:rsidR="007D2EAA" w:rsidRPr="003D1F35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סימן ב 1</w:t>
                        </w:r>
                      </w:p>
                    </w:tc>
                  </w:tr>
                  <w:tr w:rsidR="007D2EAA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ב' ו הארכת תקופת הגנה</w:t>
                        </w:r>
                      </w:p>
                    </w:tc>
                    <w:tc>
                      <w:tcPr>
                        <w:tcW w:w="710" w:type="pct"/>
                      </w:tcPr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01" w:type="pct"/>
                      </w:tcPr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D2EAA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64א בסימן זה -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תכשיר רפואי - כל צורה של סמי מרפא שעברו תהליך עיבוד לרבות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תכשיר לשימוש ברפואה וטרינרית ותכשיר בעל ערך תזונתי המיועד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להזרקה תוך ורידית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חומר" - המרכיב הפעיל בתכשיר רפואי או מלחים, אסטרים, הידרטים או</w:t>
                        </w:r>
                      </w:p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צורות גבישיות של אותו המרכיב</w:t>
                        </w:r>
                      </w:p>
                    </w:tc>
                    <w:tc>
                      <w:tcPr>
                        <w:tcW w:w="710" w:type="pct"/>
                      </w:tcPr>
                      <w:p w:rsidR="007D2EAA" w:rsidRPr="003D1F35" w:rsidRDefault="007D2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דגדרות</w:t>
                        </w:r>
                      </w:p>
                    </w:tc>
                    <w:tc>
                      <w:tcPr>
                        <w:tcW w:w="901" w:type="pct"/>
                      </w:tcPr>
                      <w:p w:rsidR="007D2EAA" w:rsidRDefault="007D2EA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D2EAA" w:rsidRDefault="007D2EA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051" o:spid="_x0000_s1028" type="#_x0000_t202" style="position:absolute;left:0;text-align:left;margin-left:175.2pt;margin-top:78.2pt;width:241.55pt;height:21.4pt;z-index:1;mso-position-horizontal-relative:page;mso-position-vertical-relative:page" stroked="f">
            <v:textbox style="mso-next-textbox:#_x0000_s48051" inset="0,0,0,0">
              <w:txbxContent>
                <w:p w:rsidR="007D2EAA" w:rsidRPr="003D1F35" w:rsidRDefault="007D2EAA">
                  <w:pPr>
                    <w:pStyle w:val="OCRStyle1"/>
                    <w:ind w:left="23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הפטנטים (תיקון מס' ג), התשנ"ח-1998*</w:t>
                  </w:r>
                </w:p>
              </w:txbxContent>
            </v:textbox>
            <w10:wrap anchorx="page" anchory="page"/>
          </v:shape>
        </w:pict>
      </w:r>
    </w:p>
    <w:p w:rsidR="00027E05" w:rsidRDefault="00027E05">
      <w:pPr>
        <w:rPr>
          <w:rtl/>
        </w:rPr>
      </w:pPr>
      <w:r>
        <w:rPr>
          <w:rtl/>
        </w:rPr>
        <w:br w:type="page"/>
      </w:r>
    </w:p>
    <w:p w:rsidR="00027E05" w:rsidRDefault="00000000">
      <w:pPr>
        <w:rPr>
          <w:rtl/>
        </w:rPr>
      </w:pPr>
      <w:r>
        <w:pict>
          <v:shape id="_x0000_s4805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052" inset="0,0,0,0">
              <w:txbxContent>
                <w:p w:rsidR="007D2EAA" w:rsidRDefault="007D2EAA">
                  <w:r>
                    <w:rPr>
                      <w:rtl/>
                    </w:rPr>
                    <w:t>139                                         ספר החוקים 1656                    ל' בשבט התשנ"ח 26.02.1998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53" o:spid="_x0000_s1030" type="#_x0000_t202" style="position:absolute;left:0;text-align:left;margin-left:355.05pt;margin-top:691.35pt;width:203.95pt;height:63.55pt;z-index:6;mso-position-horizontal-relative:page;mso-position-vertical-relative:page" stroked="f">
            <v:textbox style="mso-next-textbox:#_x0000_s48053" inset="0,0,0,0">
              <w:txbxContent>
                <w:p w:rsidR="007D2EAA" w:rsidRPr="00027E05" w:rsidRDefault="007D2EAA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י ק"ת התשמ"ו עמ' 906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54" o:spid="_x0000_s1031" type="#_x0000_t202" style="position:absolute;left:0;text-align:left;margin-left:151.3pt;margin-top:67.65pt;width:405.9pt;height:620.55pt;z-index:5;mso-position-horizontal-relative:page;mso-position-vertical-relative:page" stroked="f">
            <v:textbox style="mso-next-textbox:#_x0000_s48054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52"/>
                    <w:gridCol w:w="1329"/>
                  </w:tblGrid>
                  <w:tr w:rsidR="007D2EAA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"הפטנט הבסיסי" - הפטנט המגן על חומר כלשהו, על תהליך לייצור חומר,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שימוש בחומר או על תכשיר רפואי המכיל חומה או על תהליך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לייצור תכשיר רפואי המכיל חומר, או על ציוד רפואי החייב ברישוי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(להלן - ציור רפואי)</w:t>
                        </w:r>
                      </w:p>
                    </w:tc>
                    <w:tc>
                      <w:tcPr>
                        <w:tcW w:w="900" w:type="pct"/>
                      </w:tcPr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D2EAA" w:rsidRPr="00027E05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64ב שוכנע הרשם כי התקיימו התנאים המפורטים בסימן זה, יאריך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את תקופת תוקפו של פטנט בסיסי בהתאם להוראות סימן זה (להלן -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הארכה) ובלבד -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שהבקשה לצו הארכה הוגשה בתום לב,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שהיקף ההגנה על פי צו ההארכה לא יחרוג מעבר להגנה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על ידי הפטנט הבסיסי</w:t>
                        </w:r>
                      </w:p>
                    </w:tc>
                    <w:tc>
                      <w:tcPr>
                        <w:tcW w:w="900" w:type="pct"/>
                      </w:tcPr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פטנט</w:t>
                        </w:r>
                      </w:p>
                      <w:p w:rsidR="007D2EAA" w:rsidRPr="00027E05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בסיסי</w:t>
                        </w:r>
                      </w:p>
                    </w:tc>
                  </w:tr>
                  <w:tr w:rsidR="007D2EAA" w:rsidRPr="00027E05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64ג (א) בעל פטנט בסיסי ובעל רשיון ייחודי רשאים לבקש צו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הארכה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פטנט בסיסי שבבעלות משותפת רשאי כל שותף לבקש צו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הארכה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הצטרפו בעל הפטנט, חלק מן השותפים או בעל רשיון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ייחודי, לבקשה למתן צו הארכה, יצורפו על ידי המבקש כמשיבים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שצורף כמשיב לפי סעיף זה ולא נטל חלק בהליכים לא יהיה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בתשלום הוצאות</w:t>
                        </w:r>
                      </w:p>
                    </w:tc>
                    <w:tc>
                      <w:tcPr>
                        <w:tcW w:w="900" w:type="pct"/>
                      </w:tcPr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להארכת</w:t>
                        </w:r>
                      </w:p>
                      <w:p w:rsidR="007D2EAA" w:rsidRPr="00027E05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פטנט בסיסי</w:t>
                        </w:r>
                      </w:p>
                    </w:tc>
                  </w:tr>
                  <w:tr w:rsidR="007D2EAA" w:rsidRPr="00027E05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64ד לא יתן דרשם צו הארכה אלא אם כן התקיימו תנאים אלה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החומר התהליך לייצורו או השימוש בו או התכשיר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 המכיל אותו או הציוד הרפואי, נתבע בפטנט הבסיסי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יהפטנט הבסיסי עומד בתוקפו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תכשיר רפואי - תכשיר רפואי המכיל את החומר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בפנקס התכשירים הרפואיים לפי תקנה 2 לתקנות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הרוקחים (תכשירים רפואיים), התשמ'ו-1986 2 (להלן - תקנות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דרוקחים)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הרישום כאמור בפסקה (2) הוא הרישום הראשון המאפשר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בחומר בישראל למטרות רפואיות,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ניתן צו הארכה קודם על הפטנט הבסיסי או לגבי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החומר</w:t>
                        </w:r>
                      </w:p>
                    </w:tc>
                    <w:tc>
                      <w:tcPr>
                        <w:tcW w:w="900" w:type="pct"/>
                      </w:tcPr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למתן</w:t>
                        </w:r>
                      </w:p>
                      <w:p w:rsidR="007D2EAA" w:rsidRPr="00027E05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הארכה</w:t>
                        </w:r>
                      </w:p>
                    </w:tc>
                  </w:tr>
                  <w:tr w:rsidR="007D2EAA" w:rsidRPr="00027E05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64ה הוגשה בקשה לצו הארכה בדרך שנקבעה בתקנות בירי מי שזכאי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להגישה, וראה הרשם כי נתקיימו לכאורה התנאים הקבועים בסימן זה,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יפרסם הודעה ברשומות על כוונתו ליתן צו הארכה בהתאם לבקשה</w:t>
                        </w:r>
                      </w:p>
                    </w:tc>
                    <w:tc>
                      <w:tcPr>
                        <w:tcW w:w="900" w:type="pct"/>
                      </w:tcPr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דודעד על כוונר</w:t>
                        </w:r>
                      </w:p>
                      <w:p w:rsidR="007D2EAA" w:rsidRPr="00027E05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ליתן צו הארכה</w:t>
                        </w:r>
                      </w:p>
                    </w:tc>
                  </w:tr>
                  <w:tr w:rsidR="007D2EAA" w:rsidRPr="00027E05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64ו כל אדם רשאי להתנגד בפני הרשם למתן צו הארכה, ההתנגדות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במסירת הודעה לרשם, תוך שלושה חודשים מיום פרסום ההודעה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הכוונה ליתן צו הארכה</w:t>
                        </w:r>
                      </w:p>
                    </w:tc>
                    <w:tc>
                      <w:tcPr>
                        <w:tcW w:w="900" w:type="pct"/>
                      </w:tcPr>
                      <w:p w:rsidR="007D2EAA" w:rsidRPr="00027E05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</w:t>
                        </w:r>
                      </w:p>
                    </w:tc>
                  </w:tr>
                  <w:tr w:rsidR="007D2EAA" w:rsidRPr="00027E05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64ז כל סיבה שלפיה מוסמך הרשם שלא לתת צו הארכה, היא עילת</w:t>
                        </w:r>
                      </w:p>
                      <w:p w:rsidR="007D2EAA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</w:t>
                        </w:r>
                      </w:p>
                    </w:tc>
                    <w:tc>
                      <w:tcPr>
                        <w:tcW w:w="900" w:type="pct"/>
                      </w:tcPr>
                      <w:p w:rsidR="007D2EAA" w:rsidRPr="00027E05" w:rsidRDefault="007D2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עילת התנגדות</w:t>
                        </w:r>
                      </w:p>
                    </w:tc>
                  </w:tr>
                </w:tbl>
                <w:p w:rsidR="007D2EAA" w:rsidRDefault="007D2EA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70E19" w:rsidRDefault="00570E19">
      <w:pPr>
        <w:rPr>
          <w:rtl/>
        </w:rPr>
      </w:pPr>
      <w:r>
        <w:rPr>
          <w:rtl/>
        </w:rPr>
        <w:br w:type="page"/>
      </w:r>
    </w:p>
    <w:p w:rsidR="00570E19" w:rsidRDefault="00000000">
      <w:pPr>
        <w:rPr>
          <w:rtl/>
        </w:rPr>
      </w:pPr>
      <w:r>
        <w:pict>
          <v:shape id="_x0000_s4805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8055" inset="0,0,0,0">
              <w:txbxContent>
                <w:p w:rsidR="007D2EAA" w:rsidRDefault="007D2EAA">
                  <w:r>
                    <w:rPr>
                      <w:rtl/>
                    </w:rPr>
                    <w:t>140                                         ספר החוקים 1656                    ל' בשבט התשנ"ח 26.02.1998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56" o:spid="_x0000_s1033" type="#_x0000_t202" style="position:absolute;left:0;text-align:left;margin-left:84.6pt;margin-top:729.45pt;width:200.55pt;height:27.3pt;z-index:9;mso-position-horizontal-relative:page;mso-position-vertical-relative:page" stroked="f">
            <v:textbox style="mso-next-textbox:#_x0000_s48056" inset="0,0,0,0">
              <w:txbxContent>
                <w:p w:rsidR="007D2EAA" w:rsidRDefault="007D2EA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8057" o:spid="_x0000_s1034" type="#_x0000_t202" style="position:absolute;left:0;text-align:left;margin-left:84.6pt;margin-top:71.1pt;width:396.8pt;height:641.9pt;z-index:8;mso-position-horizontal-relative:page;mso-position-vertical-relative:page" stroked="f">
            <v:textbox style="mso-next-textbox:#_x0000_s48057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57"/>
                    <w:gridCol w:w="1558"/>
                  </w:tblGrid>
                  <w:tr w:rsidR="007D2EAA" w:rsidRPr="00570E19">
                    <w:trPr>
                      <w:jc w:val="right"/>
                    </w:trPr>
                    <w:tc>
                      <w:tcPr>
                        <w:tcW w:w="3920" w:type="pct"/>
                      </w:tcPr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64ח. (א) הרשם יתן צו הארכה אם לא הוגשה התנגדות עד תום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הקבוע להגשתה, או אם הוגשה התנגדות והיא בוטלה או נדחתה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סופית על ידי הרשם או על ידי בית המשפט.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ההארכה ייכנס לתוקפו ביום הפרסום כאמור בסעיף 64ה.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ההארכה יירשם בפנקס.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נתן הרשם צו הארכה, יהיה בעל הפטנט הבסיסי זכאי למנוע,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תקופת תוקפו של צו ההארכה, מכל ארם לשווק או לייצר לצורכי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שיווק, ללא רשותו, את הציוד הרפואי או תכשיר רפואי המכיל את החומר,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שהחומר, התהליך לייצורו, השימוש בו או התכשיר הרפואי נתבע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בתביעות הפטנט הבסיסי.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הופר צו הארכה בניגוד להוראות סעיף קטן (ר) (להלן - הפרת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הארכה), יהיה בעל הפטנט הבסיסי או בעל רשיון ייחודי זכאי לכל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הסעדים הקבועים בסעיף 183, והוראות פרק י"א יחולו על הפרת צו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הארכה, בשינויים המחויבים, לפי הענין.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פרט לזכויות המפורטות בסעיף זה, לא יקנה צו ההארכה כל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שהיא.</w:t>
                        </w:r>
                      </w:p>
                    </w:tc>
                    <w:tc>
                      <w:tcPr>
                        <w:tcW w:w="1080" w:type="pct"/>
                      </w:tcPr>
                      <w:p w:rsidR="007D2EAA" w:rsidRPr="00570E19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צו הארכה</w:t>
                        </w:r>
                      </w:p>
                    </w:tc>
                  </w:tr>
                  <w:tr w:rsidR="007D2EAA" w:rsidRPr="00570E19">
                    <w:trPr>
                      <w:jc w:val="right"/>
                    </w:trPr>
                    <w:tc>
                      <w:tcPr>
                        <w:tcW w:w="3920" w:type="pct"/>
                      </w:tcPr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64ט. (א) צו הארכה יעמוד בתוקפו, בכפוף להוראות סעיף 64י, למשך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השווה לתקופת ההארכה הניתנת לפטנט המגן על החומר, על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התכשיר הרפואי המכיל את החומר או על הציוד הרפואי, הנתבע בפטנט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הבסיסי, במדינת איגוד, המאפשרת פעולות לצורך השגת רישוי בתקופת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הפטנט.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התבקש רישוי רק בישראל, יעמוד צו ההארכה בתוקפו, למשך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השווה לתקופה שמיום הגשת הבקשה לרישוי וער הרישוי; ובלבד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שהגשת הבקשה והטיפול בה מטעם המבקש נעשו בתום לב ובדחיפות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ראויה.</w:t>
                        </w:r>
                      </w:p>
                    </w:tc>
                    <w:tc>
                      <w:tcPr>
                        <w:tcW w:w="1080" w:type="pct"/>
                      </w:tcPr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תוקפו</w:t>
                        </w:r>
                      </w:p>
                      <w:p w:rsidR="007D2EAA" w:rsidRPr="00570E19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צו הארבה</w:t>
                        </w:r>
                      </w:p>
                    </w:tc>
                  </w:tr>
                  <w:tr w:rsidR="007D2EAA" w:rsidRPr="00570E19">
                    <w:trPr>
                      <w:jc w:val="right"/>
                    </w:trPr>
                    <w:tc>
                      <w:tcPr>
                        <w:tcW w:w="3920" w:type="pct"/>
                      </w:tcPr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64י. על אף הוראות סעיף 64ט -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תקופת תוקפו של צו הארכה לא תעלה על 5 שנים מעבר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הנקובה בסעיף 52;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התקופה הכוללת של תקופת הפטנט ותקופת ההארכה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במצורף, על החומר, על התהליך לייצורו, על השימוש בו או על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תכשיר רפואי המכיל אותו, על פי הפטנט הבסיסי ועל פי צו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ההארכה ביחד תסתיים לא יאוחר מ-4ו שנים מיום קבלת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הרישוי הראשון במדינת האיגוד לצורך שיווק;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צו ההארכה יפוג לא יאוחר מן המועד הראשון שבו פגה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ההארכה שניתנה לפטנט המגן על החומר, על התכשיר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 המכיל את החומר, או על הציוד הרפואי, הנתבע</w:t>
                        </w:r>
                      </w:p>
                      <w:p w:rsidR="007D2EAA" w:rsidRPr="00570E19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בפטנט הבסיסי במדינת האיגוד.</w:t>
                        </w:r>
                      </w:p>
                    </w:tc>
                    <w:tc>
                      <w:tcPr>
                        <w:tcW w:w="1080" w:type="pct"/>
                      </w:tcPr>
                      <w:p w:rsidR="007D2EAA" w:rsidRPr="00570E19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התקופה</w:t>
                        </w:r>
                      </w:p>
                    </w:tc>
                  </w:tr>
                  <w:tr w:rsidR="007D2EAA" w:rsidRPr="00570E19">
                    <w:trPr>
                      <w:jc w:val="right"/>
                    </w:trPr>
                    <w:tc>
                      <w:tcPr>
                        <w:tcW w:w="3920" w:type="pct"/>
                      </w:tcPr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64יא. הרשם רשאי, לפי בקשת כל אדם שאינו בעל הפטנט הבסיסי או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רשיון ייחודי, לבטל צו הארכה, אם מצא כי קיימת עילה שעל פיה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להתנגד למתן צו הארכה-, דיני ההתיישנות לא יחולו על בקשת ביטול</w:t>
                        </w:r>
                      </w:p>
                      <w:p w:rsidR="007D2EAA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זה.</w:t>
                        </w:r>
                      </w:p>
                    </w:tc>
                    <w:tc>
                      <w:tcPr>
                        <w:tcW w:w="1080" w:type="pct"/>
                      </w:tcPr>
                      <w:p w:rsidR="007D2EAA" w:rsidRPr="00570E19" w:rsidRDefault="007D2E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צו הארכה</w:t>
                        </w:r>
                      </w:p>
                    </w:tc>
                  </w:tr>
                </w:tbl>
                <w:p w:rsidR="007D2EAA" w:rsidRDefault="007D2EA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C3341" w:rsidRDefault="005C3341">
      <w:pPr>
        <w:rPr>
          <w:rtl/>
        </w:rPr>
      </w:pPr>
      <w:r>
        <w:rPr>
          <w:rtl/>
        </w:rPr>
        <w:br w:type="page"/>
      </w:r>
    </w:p>
    <w:p w:rsidR="005C3341" w:rsidRDefault="00000000">
      <w:pPr>
        <w:rPr>
          <w:rtl/>
        </w:rPr>
      </w:pPr>
      <w:r>
        <w:pict>
          <v:shape id="_x0000_s48058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8058" inset="0,0,0,0">
              <w:txbxContent>
                <w:p w:rsidR="007D2EAA" w:rsidRDefault="007D2EAA">
                  <w:r>
                    <w:rPr>
                      <w:rtl/>
                    </w:rPr>
                    <w:t>141                                         ספר החוקים 1656                    ל' בשבט התשנ"ח 26.02.1998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59" o:spid="_x0000_s1036" type="#_x0000_t202" style="position:absolute;left:0;text-align:left;margin-left:340pt;margin-top:717.1pt;width:220.35pt;height:34.65pt;z-index:12;mso-position-horizontal-relative:page;mso-position-vertical-relative:page" stroked="f">
            <v:textbox style="mso-next-textbox:#_x0000_s48059" inset="0,0,0,0">
              <w:txbxContent>
                <w:p w:rsidR="007D2EAA" w:rsidRDefault="007D2EA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8060" o:spid="_x0000_s1037" type="#_x0000_t202" style="position:absolute;left:0;text-align:left;margin-left:79.45pt;margin-top:57pt;width:476pt;height:647.65pt;z-index:11;mso-position-horizontal-relative:page;mso-position-vertical-relative:page" stroked="f">
            <v:textbox style="mso-next-textbox:#_x0000_s4806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1"/>
                    <w:gridCol w:w="5733"/>
                    <w:gridCol w:w="1539"/>
                  </w:tblGrid>
                  <w:tr w:rsidR="007D2EAA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3" w:type="pct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64יב צו הארכה יפקע בכל אחר מאלה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ביום סיום התקופה כאמור בסעיף 64ט, בכפוף להוראות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64י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בעל הפטנט הבסיסי לא שילם אגרה לפי סעיף 64יג -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תום המועד לתשלום האגרה כאמור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בוטל רישומו של התכשיר הרפואי הכולל את החומר -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ביטול הרישום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בוטל הפטנט הבסיסי או תוקן כך שהחומר תהליך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הייצור השימוש בחומר התכשיר הרפואי המכיל את החומר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כולם ביחד או שהציוד הרפואי אינם מוגנים עור על פי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הפטנט - מיום שנכנס לתוקף הביטול או התיקון</w:t>
                        </w:r>
                      </w:p>
                    </w:tc>
                    <w:tc>
                      <w:tcPr>
                        <w:tcW w:w="889" w:type="pct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תוקפו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צו הארכה</w:t>
                        </w:r>
                      </w:p>
                    </w:tc>
                  </w:tr>
                  <w:tr w:rsidR="007D2EAA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3" w:type="pct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64יג (א) בעל פטנט בסיסי ישלם אגרות לענין צו ההארכה (להלן -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צו הארכה) במועדים ובשיעורים שייקבעו בתקנות לא שולמה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האגרד יפקע הצו במועד שנקבע לתשלום האגרה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אגרות לפי סעיף קטן (א) יחולו הוראות סעיפים 57 עד 64,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כשהמונח צו הארכה יבוא במקום הפטנט' והמונח אגרות צו הארכה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במקום אגרת חידוש</w:t>
                        </w:r>
                      </w:p>
                    </w:tc>
                    <w:tc>
                      <w:tcPr>
                        <w:tcW w:w="889" w:type="pct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</w:tr>
                  <w:tr w:rsidR="007D2EAA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3" w:type="pct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64יד מי שרואה עצמו נפגע על ירי החלטה של הרשם ליתן צו הארכה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לסרב לתיתו רשאי לערער עליה בפני בית משפט כאמור בסעיף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174(א)</w:t>
                        </w:r>
                      </w:p>
                    </w:tc>
                    <w:tc>
                      <w:tcPr>
                        <w:tcW w:w="889" w:type="pct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7D2EAA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3" w:type="pct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64טו בקשה למתן צו הארכה תוגש בדרך שנקבעה לאחר תשלום אגרה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מ-60 ימים מיום רישום התכשיר הרפואי לפי תקנות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הרוקחים</w:t>
                        </w:r>
                      </w:p>
                    </w:tc>
                    <w:tc>
                      <w:tcPr>
                        <w:tcW w:w="889" w:type="pct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מועדים</w:t>
                        </w:r>
                      </w:p>
                    </w:tc>
                  </w:tr>
                  <w:tr w:rsidR="007D2EAA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3" w:type="pct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64טז הרשם יפרסם ברשומות הודעה בדבר -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כוונד ליתן צו הארכה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מתן צו הארכה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פקיעת צו הארכה</w:t>
                        </w:r>
                      </w:p>
                    </w:tc>
                    <w:tc>
                      <w:tcPr>
                        <w:tcW w:w="889" w:type="pct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  <w:tr w:rsidR="007D2EAA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 ו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164(א) לחוק העיקרי אחרי 61 יבוא 64ו 64יג</w:t>
                        </w:r>
                      </w:p>
                    </w:tc>
                  </w:tr>
                  <w:tr w:rsidR="007D2EAA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182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182 לחוק העיקרי אחרי סעיף קטן (א) יבוא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(או) עילה שניתן בשלה להתנגד למתן צו הארכה תשמש הגנה טובה בתביעה על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 צו הארכה קיבל בית המשפט את ההגנה יצווה על ביטול צו ההארכה</w:t>
                        </w:r>
                      </w:p>
                    </w:tc>
                  </w:tr>
                  <w:tr w:rsidR="007D2EAA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94 ו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194 לחוק העיקרי אחרי פסקה (10) יבוא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סדרי דין בבקשות למתן צו הארכה של פטנט בהתנגדות למתן צו הארכה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ובבקשות לביטול צו הארכה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דרכי מסירת הודעות לרשם על ירי בעל פטנט בסיסי שניתן עליו צו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הארכה</w:t>
                        </w:r>
                      </w:p>
                      <w:p w:rsidR="007D2EAA" w:rsidRDefault="007D2EA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האגרות שיש לשלמן בעד פעולות הלשכה בענין צווי הארכה '</w:t>
                        </w:r>
                      </w:p>
                    </w:tc>
                  </w:tr>
                </w:tbl>
                <w:p w:rsidR="007D2EAA" w:rsidRDefault="007D2EA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D2EAA" w:rsidRDefault="007D2EAA">
      <w:pPr>
        <w:rPr>
          <w:rtl/>
        </w:rPr>
      </w:pPr>
      <w:r>
        <w:rPr>
          <w:rtl/>
        </w:rPr>
        <w:br w:type="page"/>
      </w:r>
    </w:p>
    <w:p w:rsidR="007D2EAA" w:rsidRDefault="00000000">
      <w:pPr>
        <w:rPr>
          <w:rtl/>
        </w:rPr>
      </w:pPr>
      <w:r>
        <w:pict>
          <v:shape id="_x0000_s48061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8061" inset="0,0,0,0">
              <w:txbxContent>
                <w:p w:rsidR="007D2EAA" w:rsidRDefault="007D2EAA">
                  <w:r>
                    <w:rPr>
                      <w:rtl/>
                    </w:rPr>
                    <w:t>142                                         ספר החוקים 1656                    ל' בשבט התשנ"ח 26.02.1998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62" o:spid="_x0000_s1039" type="#_x0000_t202" style="position:absolute;left:0;text-align:left;margin-left:105.35pt;margin-top:144.75pt;width:89.1pt;height:28.9pt;z-index:18;mso-position-horizontal-relative:page;mso-position-vertical-relative:page" stroked="f">
            <v:textbox style="mso-next-textbox:#_x0000_s48062" inset="0,0,0,0">
              <w:txbxContent>
                <w:p w:rsidR="007D2EAA" w:rsidRDefault="007D2EAA">
                  <w:pPr>
                    <w:pStyle w:val="OCRStyle5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צחי ה נ ג ב י</w:t>
                  </w:r>
                </w:p>
                <w:p w:rsidR="007D2EAA" w:rsidRDefault="007D2EAA">
                  <w:pPr>
                    <w:pStyle w:val="OCRStyle5"/>
                    <w:ind w:left="26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63" o:spid="_x0000_s1040" type="#_x0000_t202" style="position:absolute;left:0;text-align:left;margin-left:199.4pt;margin-top:167.95pt;width:87.3pt;height:32.85pt;z-index:17;mso-position-horizontal-relative:page;mso-position-vertical-relative:page" stroked="f">
            <v:textbox style="mso-next-textbox:#_x0000_s48063" inset="0,0,0,0">
              <w:txbxContent>
                <w:p w:rsidR="007D2EAA" w:rsidRDefault="007D2EAA">
                  <w:pPr>
                    <w:pStyle w:val="OCRStyle5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D2EAA" w:rsidRDefault="007D2EAA">
                  <w:pPr>
                    <w:pStyle w:val="OCRStyle5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64" o:spid="_x0000_s1041" type="#_x0000_t202" style="position:absolute;left:0;text-align:left;margin-left:394.05pt;margin-top:172.1pt;width:71.7pt;height:27.9pt;z-index:16;mso-position-horizontal-relative:page;mso-position-vertical-relative:page" stroked="f">
            <v:textbox style="mso-next-textbox:#_x0000_s48064" inset="0,0,0,0">
              <w:txbxContent>
                <w:p w:rsidR="007D2EAA" w:rsidRDefault="007D2EAA">
                  <w:pPr>
                    <w:pStyle w:val="OCRStyle5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עזר ו י צ מ ן</w:t>
                  </w:r>
                </w:p>
                <w:p w:rsidR="007D2EAA" w:rsidRDefault="007D2EAA">
                  <w:pPr>
                    <w:pStyle w:val="OCRStyle5"/>
                    <w:ind w:left="6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65" o:spid="_x0000_s1042" type="#_x0000_t202" style="position:absolute;left:0;text-align:left;margin-left:291.65pt;margin-top:140.6pt;width:102.35pt;height:31.5pt;z-index:15;mso-position-horizontal-relative:page;mso-position-vertical-relative:page" stroked="f">
            <v:textbox style="mso-next-textbox:#_x0000_s48065" inset="0,0,0,0">
              <w:txbxContent>
                <w:p w:rsidR="007D2EAA" w:rsidRDefault="007D2EAA">
                  <w:pPr>
                    <w:pStyle w:val="OCRStyle5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D2EAA" w:rsidRDefault="007D2EAA">
                  <w:pPr>
                    <w:pStyle w:val="OCRStyle5"/>
                    <w:ind w:left="4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66" o:spid="_x0000_s1043" type="#_x0000_t202" style="position:absolute;left:0;text-align:left;margin-left:88.7pt;margin-top:78.85pt;width:467.85pt;height:51.1pt;z-index:14;mso-position-horizontal-relative:page;mso-position-vertical-relative:page" stroked="f">
            <v:textbox style="mso-next-textbox:#_x0000_s4806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7"/>
                    <w:gridCol w:w="1199"/>
                  </w:tblGrid>
                  <w:tr w:rsidR="007D2EAA" w:rsidRPr="007D2EAA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7D2EAA" w:rsidRDefault="007D2E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בקשה למתן צו הארכה יכול שתוגש גם לגבי תכשיר רפואי או חומר, שנרשם לפי</w:t>
                        </w:r>
                      </w:p>
                      <w:p w:rsidR="007D2EAA" w:rsidRDefault="007D2E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הרוקחים ב-60 הימים שקדמו ליום פרסומו של חוק זה, ובלבד שהבקשה למתן צו</w:t>
                        </w:r>
                      </w:p>
                      <w:p w:rsidR="007D2EAA" w:rsidRDefault="007D2E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ההארכה תוגש בתוך 60 ימים מיום פרסומו של חוק זה.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7D2EAA" w:rsidRPr="007D2EAA" w:rsidRDefault="007D2EA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7D2EAA" w:rsidRDefault="007D2EA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D1F3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03F4830-5993-4DE2-9402-A393E6EDA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D1F3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27E0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70E1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5C334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7D2EA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2008-04-07T10:40:00Z</dcterms:created>
  <dcterms:modified xsi:type="dcterms:W3CDTF">2008-04-07T10:40:00Z</dcterms:modified>
</cp:coreProperties>
</file>