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377C" w:rsidRDefault="0061377C">
      <w:pPr>
        <w:rPr>
          <w:rtl/>
        </w:rPr>
      </w:pPr>
    </w:p>
    <w:p w:rsidR="006137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096" inset="0,0,0,0">
              <w:txbxContent>
                <w:p w:rsidR="007B0996" w:rsidRDefault="007B0996">
                  <w:r>
                    <w:rPr>
                      <w:rtl/>
                    </w:rPr>
                    <w:t>144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7" o:spid="_x0000_s1026" type="#_x0000_t202" style="position:absolute;left:0;text-align:left;margin-left:97.45pt;margin-top:629.6pt;width:388.3pt;height:122.15pt;z-index:3;mso-position-horizontal-relative:page;mso-position-vertical-relative:page" stroked="f">
            <v:textbox style="mso-next-textbox:#_x0000_s48097" inset="0,0,0,0">
              <w:txbxContent>
                <w:p w:rsidR="007B0996" w:rsidRDefault="007B099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התשנ"ח (24 בפברואר 1998); הצעת החוק ודברי הסבר פורסמו בהצעות</w:t>
                  </w:r>
                </w:p>
                <w:p w:rsidR="007B0996" w:rsidRDefault="007B0996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חוק 2608, מיום י"ז באדר ב' התשנ'ז (26 במרס 1997), עמ' 280.</w:t>
                  </w:r>
                </w:p>
                <w:p w:rsidR="007B0996" w:rsidRDefault="007B099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171; התשנ"ח, עמ' 6.</w:t>
                  </w:r>
                </w:p>
                <w:p w:rsidR="007B0996" w:rsidRDefault="007B099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ס''ח התשל"ז, עמ' 226; התשנ''ד, עמ' 355; התשנ'"ו, עמ' 351.</w:t>
                  </w:r>
                </w:p>
                <w:p w:rsidR="007B0996" w:rsidRDefault="007B099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5 ס''ח התשמ"ב, עמ' .43</w:t>
                  </w:r>
                </w:p>
                <w:p w:rsidR="007B0996" w:rsidRPr="0061377C" w:rsidRDefault="007B0996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4 ס"ח התשמ"ו, עמ'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98" o:spid="_x0000_s1027" type="#_x0000_t202" style="position:absolute;left:0;text-align:left;margin-left:92.3pt;margin-top:102.7pt;width:467.5pt;height:521.75pt;z-index:2;mso-position-horizontal-relative:page;mso-position-vertical-relative:page" stroked="f">
            <v:textbox style="mso-next-textbox:#_x0000_s480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1"/>
                    <w:gridCol w:w="1256"/>
                    <w:gridCol w:w="1533"/>
                  </w:tblGrid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Default="007B099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השיפוט הצבאי, התשט"ו-1955 1 (להלן - החוק העיקרי), בסעיף 6(ד), במקום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'שותפים לדבר, כאמור בפרק ד' לחוק העונשין, התשל"ז-1977" יבוא ''שהינם צדדים</w:t>
                        </w:r>
                      </w:p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לעבירה, כאמור בסימן ב' לפרק ה' לחוק העונשין, התשל"ז-1977 2".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17 לחוק העיקרי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מבלי לגרוע מהוראות סעיף ו54, יחולו לגבי עבירות צבאיות הוראות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 ופרק ב' בחלק המקדמי והוראות חלק א': כללי, לחוק העונשין</w:t>
                        </w:r>
                      </w:p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בתיאומים המחויבים לפי הענין."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-תחולת חוק</w:t>
                        </w:r>
                      </w:p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18 לחוק העיקרי - בטל.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</w:t>
                        </w:r>
                      </w:p>
                    </w:tc>
                  </w:tr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178א לחוק העיקרי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178א</w:t>
                        </w: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178א. (א) נתפנה מקומו של הפרקליט הצבאי הראשי וכל עוד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הפרקליט הצבאי הראשי החדש לא התחיל לכהן, או נעדר הפרקליט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מהארץ או נבצר ממנו זמנית למלא תפקידו, ימלא סגנו את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המוטלים על הפרקליט הצבאי הראשי, וישתמש בסמכויות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לו לפי כל חיקוק.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הפרקליט הצבאי הראשי רשאי לאצול לסגנו מסמכויותיו לפי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1 - הגדרת קצין מוסמך, 168, 215,169ב, 238(ב), 282,279,252,241,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282א, 308, 443(א) ו-512 לחוק זה, כולן או מקצתן.'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-סמכויות הפרקליט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-</w:t>
                        </w:r>
                      </w:p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לסגנו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192א לחוק העיקרי, אחרי סעיף קטן (ב) יבוא: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שנתמנה לכהונה בפועל לפי סעיף זה, רשאי לדון גם בענין הנתון לסמכות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שבו הוא מכהן דרך קבע, ובלבד שלא ידון באותו ענין בשתי</w:t>
                        </w:r>
                      </w:p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הערכאות."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92וא</w:t>
                        </w:r>
                      </w:p>
                    </w:tc>
                  </w:tr>
                  <w:tr w:rsidR="007B0996" w:rsidRPr="0061377C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192ה לחוק העיקרי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1921ה1</w:t>
                        </w: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192ה1. (א) הוראות סעיף 192ה לא יחולו על סוגי עבירות אלה.-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שנקבעה כעבירת קנס לפי פרק ז' לחוק סדר הדין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[נוסח משולב], התשמ"ב-51982 (להלן - חוק סדר הדין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הפלילי);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שנקבעה כעבירה מינהלית שדינה קנס מינהלי לפי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העבירות המינהליות, התשמ"ו-41985 (להלן - חוק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המינהליות).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בעבירות המנויות בסעיף קטן (א), ניתן להגיש כתב אישום,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B0996" w:rsidRPr="0061377C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-שיפוט פלילי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הוראות סעיף 192ה, אם נסיבות העבירה מחייבות בירור המשפט,</w:t>
                        </w:r>
                      </w:p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שטרם נמסרו טופס ברירת דיון לפי סעיף 176ג, הזמנה לפי סעיף 222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2" w:type="pct"/>
                      </w:tcPr>
                      <w:p w:rsidR="007B0996" w:rsidRDefault="007B09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0996" w:rsidRDefault="007B09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99" o:spid="_x0000_s1028" type="#_x0000_t202" style="position:absolute;left:0;text-align:left;margin-left:152.5pt;margin-top:77pt;width:274.65pt;height:23.95pt;z-index:1;mso-position-horizontal-relative:page;mso-position-vertical-relative:page" stroked="f">
            <v:textbox style="mso-next-textbox:#_x0000_s48099" inset="0,0,0,0">
              <w:txbxContent>
                <w:p w:rsidR="007B0996" w:rsidRPr="0061377C" w:rsidRDefault="007B0996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34), התשנ"ח-1998*</w:t>
                  </w:r>
                </w:p>
              </w:txbxContent>
            </v:textbox>
            <w10:wrap anchorx="page" anchory="page"/>
          </v:shape>
        </w:pict>
      </w:r>
    </w:p>
    <w:p w:rsidR="00146711" w:rsidRDefault="00146711">
      <w:pPr>
        <w:rPr>
          <w:rtl/>
        </w:rPr>
      </w:pPr>
      <w:r>
        <w:rPr>
          <w:rtl/>
        </w:rPr>
        <w:br w:type="page"/>
      </w:r>
    </w:p>
    <w:p w:rsidR="00146711" w:rsidRDefault="00000000">
      <w:pPr>
        <w:rPr>
          <w:rtl/>
        </w:rPr>
      </w:pPr>
      <w:r>
        <w:pict>
          <v:shape id="_x0000_s481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100" inset="0,0,0,0">
              <w:txbxContent>
                <w:p w:rsidR="007B0996" w:rsidRDefault="007B0996">
                  <w:r>
                    <w:rPr>
                      <w:rtl/>
                    </w:rPr>
                    <w:t>145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1" o:spid="_x0000_s1030" type="#_x0000_t202" style="position:absolute;left:0;text-align:left;margin-left:347.8pt;margin-top:735.45pt;width:195.45pt;height:21.4pt;z-index:6;mso-position-horizontal-relative:page;mso-position-vertical-relative:page" stroked="f">
            <v:textbox style="mso-next-textbox:#_x0000_s48101" inset="0,0,0,0">
              <w:txbxContent>
                <w:p w:rsidR="007B0996" w:rsidRDefault="007B09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102" o:spid="_x0000_s1031" type="#_x0000_t202" style="position:absolute;left:0;text-align:left;margin-left:79.35pt;margin-top:67.4pt;width:470.85pt;height:647.25pt;z-index:5;mso-position-horizontal-relative:page;mso-position-vertical-relative:page" stroked="f">
            <v:textbox style="mso-next-textbox:#_x0000_s481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5562"/>
                    <w:gridCol w:w="1534"/>
                  </w:tblGrid>
                  <w:tr w:rsidR="007B0996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 או הודעת תשלום קנס לפי סעיף 228(ב) לאותו חוק,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בטרם שולם קנס מינהלי בנסיבות האמורות בסעיף 15 לחוק העבירות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המינהליות.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ביקש שופט צבאי-משפטאי להישפט על פי הוראות החיקוקים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(א), יחולו הוראות סעיף 192ה(ג) ו-(ד)."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203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202 לחוק העיקרי יבוא: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 על אף הוראות סעיפים 201 ו-202, ידון בית דין צבאי מחוזי בעבירה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94, בשופט צבאי-משפטאי אחד, ובלבד שלא יטיל על עבירה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עונש מאסר לריצוי בפועל העולה על תשעה חודשים, ואולם רשאי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דין צבאי כאמור או סגנו, ביוזמתו או לבקשת הנאשם או תובע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לקבוע כי מותב בית הדין יורכב כאמור בסעיפים 201 ו-202."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-מותב בעבירת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מן השירות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ברשות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227א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227א לחוק העיקרי -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"התשנ"ו-1996" יבוא "(להלן - חוק סמכויות אכיפה -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מעצרים)";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(6) יבוא: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זכות הפגישה עם עורך דין תהיה רק עם סניגור כמשמעותו בסעיף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316."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227א1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227א לחוק העיקרי יבוא: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227או. מבלי לגרוע מהוראות סעיף 227, יחולו הוראות סעיפים 34 ו-35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סמכויות אכיפה - מעצרים, לגבי חייל שנחקר ושלפי הדין קיימת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קרובה לוודאי שייעצר, הכל לפי הענין ובשינויים המחויבים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227א; לענין סעיף זה, "לפי הדין" - לרבות לפי הלכה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פסוקה."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-חייל שנחקר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  <w:vMerge w:val="restar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ו24א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241 לחוק העיקרי יבוא: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  <w:vMerge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241א. על אף הוראות סעיפים 240(ד), 241 ו-243(ג), רשאי נשיא בית הדין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 לקבוע כי ערעור על מעצר יידון לפני מותב של שלושה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צבאיים-משפטאים של בית הדין הצבאי לערעורים, אם סבר כי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נחוץ מפני חשיבותו או קשיותו של הענין, או מפאת חידושה של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הלכה שנפסקה בענין."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בערעור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מעצר,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שופטים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צבאיים-משפטאים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  <w:vMerge w:val="restar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 לפרק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בסימן ב' לפרק חמישי בחלק ה' לחוק העיקרי, כותרת הסימן תהיה:</w:t>
                        </w: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856" w:type="pct"/>
                        <w:vMerge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 - ערעור על פסק דין או על החלטה בענין מעצר של בתי משפט צבאיים".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  <w:vMerge w:val="restar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440ב1 ו-440ב2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440ב לחוק העיקרי יבוא:</w:t>
                        </w:r>
                      </w:p>
                    </w:tc>
                  </w:tr>
                  <w:tr w:rsidR="007B0996" w:rsidRPr="00146711">
                    <w:trPr>
                      <w:jc w:val="right"/>
                    </w:trPr>
                    <w:tc>
                      <w:tcPr>
                        <w:tcW w:w="856" w:type="pct"/>
                        <w:vMerge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440ב1. (א) החליט שופט של בית משפט צבאי שלא להאריך מעצרו של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 או שלא ליתן פקודת מעצר על נאשם, והתובע הצבאי הודיע,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מתן ההחלטה, על רצונו לערער עליה לפי סעיף קטן (ב), רשאי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לצוות על השהיית שחרורו של העצור או של הנאשם, או על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מעצרם, לתקופה שלא תעלה על 48 שעות; לענין זה לא יבואו במנין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השעות שבתות ומועדים.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ערעור</w:t>
                        </w:r>
                      </w:p>
                      <w:p w:rsidR="007B0996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החלטה</w:t>
                        </w:r>
                      </w:p>
                      <w:p w:rsidR="007B0996" w:rsidRPr="00146711" w:rsidRDefault="007B09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מעצר</w:t>
                        </w:r>
                      </w:p>
                    </w:tc>
                  </w:tr>
                </w:tbl>
                <w:p w:rsidR="007B0996" w:rsidRDefault="007B09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0996" w:rsidRDefault="007B0996">
      <w:pPr>
        <w:rPr>
          <w:rtl/>
        </w:rPr>
      </w:pPr>
      <w:r>
        <w:rPr>
          <w:rtl/>
        </w:rPr>
        <w:br w:type="page"/>
      </w:r>
    </w:p>
    <w:p w:rsidR="007B0996" w:rsidRDefault="00000000">
      <w:pPr>
        <w:rPr>
          <w:rtl/>
        </w:rPr>
      </w:pPr>
      <w:r>
        <w:pict>
          <v:shape id="_x0000_s48103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8103" inset="0,0,0,0">
              <w:txbxContent>
                <w:p w:rsidR="007B0996" w:rsidRDefault="007B0996">
                  <w:r>
                    <w:rPr>
                      <w:rtl/>
                    </w:rPr>
                    <w:t>146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4" o:spid="_x0000_s1033" type="#_x0000_t202" style="position:absolute;left:0;text-align:left;margin-left:91.3pt;margin-top:722.45pt;width:216.8pt;height:34.45pt;z-index:14;mso-position-horizontal-relative:page;mso-position-vertical-relative:page" stroked="f">
            <v:textbox style="mso-next-textbox:#_x0000_s48104" inset="0,0,0,0">
              <w:txbxContent>
                <w:p w:rsidR="007B0996" w:rsidRDefault="007B099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105" o:spid="_x0000_s1034" type="#_x0000_t202" style="position:absolute;left:0;text-align:left;margin-left:317.65pt;margin-top:541.7pt;width:165.35pt;height:22.35pt;z-index:13;mso-position-horizontal-relative:page;mso-position-vertical-relative:page" stroked="f">
            <v:textbox style="mso-next-textbox:#_x0000_s48105" inset="0,0,0,0">
              <w:txbxContent>
                <w:p w:rsidR="007B0996" w:rsidRDefault="007B0996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5 ע"ר 1945,  תוס' 2, עמ' (ע) 855, (א) 1055.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6" o:spid="_x0000_s1035" type="#_x0000_t202" style="position:absolute;left:0;text-align:left;margin-left:118.85pt;margin-top:464.25pt;width:77.4pt;height:35.25pt;z-index:12;mso-position-horizontal-relative:page;mso-position-vertical-relative:page" stroked="f">
            <v:textbox style="mso-next-textbox:#_x0000_s48106" inset="0,0,0,0">
              <w:txbxContent>
                <w:p w:rsidR="007B0996" w:rsidRDefault="007B0996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7B0996" w:rsidRDefault="007B0996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7" o:spid="_x0000_s1036" type="#_x0000_t202" style="position:absolute;left:0;text-align:left;margin-left:213.5pt;margin-top:496.35pt;width:90.5pt;height:31.7pt;z-index:11;mso-position-horizontal-relative:page;mso-position-vertical-relative:page" stroked="f">
            <v:textbox style="mso-next-textbox:#_x0000_s48107" inset="0,0,0,0">
              <w:txbxContent>
                <w:p w:rsidR="007B0996" w:rsidRDefault="007B0996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B0996" w:rsidRDefault="007B0996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8" o:spid="_x0000_s1037" type="#_x0000_t202" style="position:absolute;left:0;text-align:left;margin-left:299.6pt;margin-top:464.25pt;width:84.35pt;height:31.9pt;z-index:10;mso-position-horizontal-relative:page;mso-position-vertical-relative:page" stroked="f">
            <v:textbox style="mso-next-textbox:#_x0000_s48108" inset="0,0,0,0">
              <w:txbxContent>
                <w:p w:rsidR="007B0996" w:rsidRDefault="007B0996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B0996" w:rsidRDefault="007B0996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9" o:spid="_x0000_s1038" type="#_x0000_t202" style="position:absolute;left:0;text-align:left;margin-left:388.3pt;margin-top:491.8pt;width:78.2pt;height:37.05pt;z-index:9;mso-position-horizontal-relative:page;mso-position-vertical-relative:page" stroked="f">
            <v:textbox style="mso-next-textbox:#_x0000_s48109" inset="0,0,0,0">
              <w:txbxContent>
                <w:p w:rsidR="007B0996" w:rsidRDefault="007B0996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0996" w:rsidRDefault="007B0996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0" o:spid="_x0000_s1039" type="#_x0000_t202" style="position:absolute;left:0;text-align:left;margin-left:82.6pt;margin-top:78.55pt;width:471.85pt;height:375.4pt;z-index:8;mso-position-horizontal-relative:page;mso-position-vertical-relative:page" stroked="f">
            <v:textbox style="mso-next-textbox:#_x0000_s481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2"/>
                    <w:gridCol w:w="1105"/>
                    <w:gridCol w:w="1452"/>
                  </w:tblGrid>
                  <w:tr w:rsidR="007B0996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החלטה בענין מעצר שנתן שופט של בית משפט צבאי,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העצור, הנאשם או תובע צבאי, לערער לבית הדין הצבאי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אשר ידון בערעור בשופט צבאי-משפטאי אחד.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בענין מעצר שנתן שופט צבאי-משפטאי של בית הדין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לערעורים, שלא בערעור כאמור בסעיף קטן (ב), ניתנת לעיון שנית,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העצור, הנאשם או תובע צבאי, לפני מותב של שלושה של בית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לערעורים.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(ב), רשאי נשיא בית הדין הצבאי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לקבוע כי ערעור על מעצר יידון לפני מותב של שלושה שופטים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צבאיים-משפטאים של בית הדין הצבאי לערעורים, אם סבר כי הדבר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נחוץ מפני חשיבותו או קשיותו של הענין, או מפאת חידושה של הלכה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שנפסקה בענין.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6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440ב2. (א) הוראות סעיפים 59 עד 62 לחוק סמכויות אכיפה -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מעצרים, יחולו גם לגבי אדם המוחזק במעצר לפי תקנות ההגנה (שעת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חירום), 1945 5, אולם במקום "שופט של בית המשפט העליון'', כאמור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62 לחוק האמור, יבוא ''שופט צבאי-משפטאי של בית הדין הצבאי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לערעורים''.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240(ב) יחולו, בשינויים המחויבים, גם על דיון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מעצר לפי סימן זה.''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B0996" w:rsidRP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B0996" w:rsidRP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אחרי סעיף 491 לחוק העיקרי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ו49א</w:t>
                        </w:r>
                      </w:p>
                    </w:tc>
                  </w:tr>
                  <w:tr w:rsidR="007B0996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ו49א. נשא חייל עונש בחוץ-לארץ על עבירה, או היה נתון שם במעצר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בגללה, ינוכה העונש או תקופת המעצר מעונש מאסר או מחבוש, שהטיל</w:t>
                        </w:r>
                      </w:p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בית דין צבאי בשל אותה עבירה.''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עונש</w:t>
                        </w:r>
                      </w:p>
                      <w:p w:rsidR="007B0996" w:rsidRP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מעצר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B0996" w:rsidRDefault="007B09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0996" w:rsidRDefault="007B099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37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CA029D-A712-4605-8AE6-7653FF87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37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4671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B09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2008-04-07T10:40:00Z</dcterms:created>
  <dcterms:modified xsi:type="dcterms:W3CDTF">2008-04-07T10:40:00Z</dcterms:modified>
</cp:coreProperties>
</file>