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F7589D" w:rsidRDefault="00F7589D">
      <w:pPr>
        <w:rPr>
          <w:rtl/>
        </w:rPr>
      </w:pPr>
    </w:p>
    <w:p w:rsidR="00F7589D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8321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48321" inset="0,0,0,0">
              <w:txbxContent>
                <w:p w:rsidR="00F7589D" w:rsidRDefault="00F7589D">
                  <w:r>
                    <w:rPr>
                      <w:rtl/>
                    </w:rPr>
                    <w:t>236                                         ספר החוקים 1668                  ד' בסיוון התשנ"ח 29.05.1998</w:t>
                  </w:r>
                </w:p>
              </w:txbxContent>
            </v:textbox>
            <w10:wrap anchorx="page" anchory="page"/>
          </v:shape>
        </w:pict>
      </w:r>
      <w:r>
        <w:pict>
          <v:shape id="_x0000_s48322" o:spid="_x0000_s1026" type="#_x0000_t202" style="position:absolute;left:0;text-align:left;margin-left:99.5pt;margin-top:444.75pt;width:382.95pt;height:155.25pt;z-index:7;mso-position-horizontal-relative:page;mso-position-vertical-relative:page" stroked="f">
            <v:textbox style="mso-next-textbox:#_x0000_s48322" inset="0,0,0,0">
              <w:txbxContent>
                <w:p w:rsidR="00F7589D" w:rsidRDefault="00F7589D">
                  <w:pPr>
                    <w:pStyle w:val="OCRStyle1"/>
                    <w:ind w:left="144"/>
                    <w:rPr>
                      <w:rtl/>
                    </w:rPr>
                  </w:pPr>
                  <w:r>
                    <w:rPr>
                      <w:rtl/>
                    </w:rPr>
                    <w:t>. נתקבל בכנסת ביום כ"ג באייר התשנ"ח (9ז במאי 0998; הצעת החוק ודברי הסבר פורסמו בהצעות חוק</w:t>
                  </w:r>
                </w:p>
                <w:p w:rsidR="00F7589D" w:rsidRDefault="00F7589D">
                  <w:pPr>
                    <w:pStyle w:val="OCRStyle1"/>
                    <w:ind w:left="371"/>
                    <w:rPr>
                      <w:rtl/>
                    </w:rPr>
                  </w:pPr>
                  <w:r>
                    <w:rPr>
                      <w:rtl/>
                    </w:rPr>
                    <w:t>2679, מיום כ"ב בטבת התשנ"ח (20 בינואר 1998), עמ' 191.</w:t>
                  </w:r>
                </w:p>
                <w:p w:rsidR="00F7589D" w:rsidRPr="00F7589D" w:rsidRDefault="00F7589D">
                  <w:pPr>
                    <w:pStyle w:val="OCRStyle1"/>
                    <w:ind w:left="166"/>
                  </w:pPr>
                  <w:r>
                    <w:rPr>
                      <w:rtl/>
                    </w:rPr>
                    <w:t>1 ס"ח התשנ-ה, עמ' .210</w:t>
                  </w:r>
                </w:p>
              </w:txbxContent>
            </v:textbox>
            <w10:wrap anchorx="page" anchory="page"/>
          </v:shape>
        </w:pict>
      </w:r>
      <w:r>
        <w:pict>
          <v:shape id="_x0000_s48323" o:spid="_x0000_s1027" type="#_x0000_t202" style="position:absolute;left:0;text-align:left;margin-left:101.3pt;margin-top:367.35pt;width:107.1pt;height:34.65pt;z-index:6;mso-position-horizontal-relative:page;mso-position-vertical-relative:page" stroked="f">
            <v:textbox style="mso-next-textbox:#_x0000_s48323" inset="0,0,0,0">
              <w:txbxContent>
                <w:p w:rsidR="00F7589D" w:rsidRDefault="00F7589D">
                  <w:pPr>
                    <w:pStyle w:val="OCRStyle1"/>
                    <w:ind w:left="360"/>
                    <w:rPr>
                      <w:rtl/>
                    </w:rPr>
                  </w:pPr>
                  <w:r>
                    <w:rPr>
                      <w:rtl/>
                    </w:rPr>
                    <w:t>אליהו ישי</w:t>
                  </w:r>
                </w:p>
                <w:p w:rsidR="00F7589D" w:rsidRDefault="00F7589D">
                  <w:pPr>
                    <w:pStyle w:val="OCRStyle1"/>
                    <w:ind w:left="36"/>
                  </w:pPr>
                  <w:r>
                    <w:rPr>
                      <w:rtl/>
                    </w:rPr>
                    <w:t>שר העבודה והרווחה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8324" o:spid="_x0000_s1028" type="#_x0000_t202" style="position:absolute;left:0;text-align:left;margin-left:212.6pt;margin-top:398.65pt;width:93.25pt;height:28.9pt;z-index:5;mso-position-horizontal-relative:page;mso-position-vertical-relative:page" stroked="f">
            <v:textbox style="mso-next-textbox:#_x0000_s48324" inset="0,0,0,0">
              <w:txbxContent>
                <w:p w:rsidR="00F7589D" w:rsidRDefault="00F7589D">
                  <w:pPr>
                    <w:pStyle w:val="OCRStyle1"/>
                    <w:ind w:left="428"/>
                    <w:rPr>
                      <w:rtl/>
                    </w:rPr>
                  </w:pPr>
                  <w:r>
                    <w:rPr>
                      <w:rtl/>
                    </w:rPr>
                    <w:t>דן תיכון</w:t>
                  </w:r>
                </w:p>
                <w:p w:rsidR="00F7589D" w:rsidRDefault="00F7589D">
                  <w:pPr>
                    <w:pStyle w:val="OCRStyle1"/>
                    <w:ind w:left="126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8325" o:spid="_x0000_s1029" type="#_x0000_t202" style="position:absolute;left:0;text-align:left;margin-left:390pt;margin-top:397.85pt;width:78.4pt;height:27.15pt;z-index:4;mso-position-horizontal-relative:page;mso-position-vertical-relative:page" stroked="f">
            <v:textbox style="mso-next-textbox:#_x0000_s48325" inset="0,0,0,0">
              <w:txbxContent>
                <w:p w:rsidR="00F7589D" w:rsidRDefault="00F7589D">
                  <w:pPr>
                    <w:pStyle w:val="OCRStyle1"/>
                    <w:ind w:left="223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F7589D" w:rsidRDefault="00F7589D">
                  <w:pPr>
                    <w:pStyle w:val="OCRStyle1"/>
                    <w:ind w:left="140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8326" o:spid="_x0000_s1030" type="#_x0000_t202" style="position:absolute;left:0;text-align:left;margin-left:291.8pt;margin-top:372.3pt;width:95.65pt;height:25.55pt;z-index:3;mso-position-horizontal-relative:page;mso-position-vertical-relative:page" stroked="f">
            <v:textbox style="mso-next-textbox:#_x0000_s48326" inset="0,0,0,0">
              <w:txbxContent>
                <w:p w:rsidR="00F7589D" w:rsidRDefault="00F7589D">
                  <w:pPr>
                    <w:pStyle w:val="OCRStyle1"/>
                    <w:ind w:left="94"/>
                    <w:rPr>
                      <w:rtl/>
                    </w:rPr>
                  </w:pPr>
                  <w:r>
                    <w:rPr>
                      <w:rtl/>
                    </w:rPr>
                    <w:t>בנימין נתניהו</w:t>
                  </w:r>
                </w:p>
                <w:p w:rsidR="00F7589D" w:rsidRDefault="00F7589D">
                  <w:pPr>
                    <w:pStyle w:val="OCRStyle1"/>
                    <w:ind w:left="184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8327" o:spid="_x0000_s1031" type="#_x0000_t202" style="position:absolute;left:0;text-align:left;margin-left:91.4pt;margin-top:92.55pt;width:466.1pt;height:268.3pt;z-index:2;mso-position-horizontal-relative:page;mso-position-vertical-relative:page" stroked="f">
            <v:textbox style="mso-next-textbox:#_x0000_s48327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16"/>
                    <w:gridCol w:w="1358"/>
                  </w:tblGrid>
                  <w:tr w:rsidR="00F7589D" w:rsidRPr="00F7589D">
                    <w:trPr>
                      <w:jc w:val="right"/>
                    </w:trPr>
                    <w:tc>
                      <w:tcPr>
                        <w:tcW w:w="4199" w:type="pct"/>
                      </w:tcPr>
                      <w:p w:rsidR="00F7589D" w:rsidRDefault="00F7589D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ו. עובד זכאי לזקוף עד 6 ימים בשנה של היעדרות, בשל מחלת בן זוגו, על חשבון</w:t>
                        </w:r>
                      </w:p>
                      <w:p w:rsidR="00F7589D" w:rsidRPr="00F7589D" w:rsidRDefault="00F7589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תקופת המחלה הצבורה שלו.</w:t>
                        </w:r>
                      </w:p>
                    </w:tc>
                    <w:tc>
                      <w:tcPr>
                        <w:tcW w:w="801" w:type="pct"/>
                      </w:tcPr>
                      <w:p w:rsidR="00F7589D" w:rsidRDefault="00F7589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היעדרות בשל</w:t>
                        </w:r>
                      </w:p>
                      <w:p w:rsidR="00F7589D" w:rsidRPr="00F7589D" w:rsidRDefault="00F7589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מחלת בן זוג</w:t>
                        </w:r>
                      </w:p>
                    </w:tc>
                  </w:tr>
                  <w:tr w:rsidR="00F7589D" w:rsidRPr="00F7589D">
                    <w:trPr>
                      <w:jc w:val="right"/>
                    </w:trPr>
                    <w:tc>
                      <w:tcPr>
                        <w:tcW w:w="4199" w:type="pct"/>
                      </w:tcPr>
                      <w:p w:rsidR="00F7589D" w:rsidRDefault="00F7589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שר העבודה והרווחה יתקין בתקנות, באישור ועדת העבודה והרווחה של הכנסת,</w:t>
                        </w:r>
                      </w:p>
                      <w:p w:rsidR="00F7589D" w:rsidRDefault="00F7589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כללים בדבר הוכחת מחלתו של בן הזוג וכן כללים בדבר מסירת הודעות למעביד על ידי</w:t>
                        </w:r>
                      </w:p>
                      <w:p w:rsidR="00F7589D" w:rsidRPr="00F7589D" w:rsidRDefault="00F7589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העובד.</w:t>
                        </w:r>
                      </w:p>
                    </w:tc>
                    <w:tc>
                      <w:tcPr>
                        <w:tcW w:w="801" w:type="pct"/>
                      </w:tcPr>
                      <w:p w:rsidR="00F7589D" w:rsidRPr="00F7589D" w:rsidRDefault="00F7589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כללים</w:t>
                        </w:r>
                      </w:p>
                    </w:tc>
                  </w:tr>
                  <w:tr w:rsidR="00F7589D" w:rsidRPr="00F7589D">
                    <w:trPr>
                      <w:jc w:val="right"/>
                    </w:trPr>
                    <w:tc>
                      <w:tcPr>
                        <w:tcW w:w="4199" w:type="pct"/>
                      </w:tcPr>
                      <w:p w:rsidR="00F7589D" w:rsidRDefault="00F7589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לענין חוק זה -</w:t>
                        </w:r>
                      </w:p>
                      <w:p w:rsidR="00F7589D" w:rsidRDefault="00F7589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יראו כחולה - בן זוג שחלה והפך להיות תלוי לחלוטין בעזרת הזולת בביצוע</w:t>
                        </w:r>
                      </w:p>
                      <w:p w:rsidR="00F7589D" w:rsidRDefault="00F7589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פעולות יום-יום;</w:t>
                        </w:r>
                      </w:p>
                      <w:p w:rsidR="00F7589D" w:rsidRDefault="00F7589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"פעולות יום-יום" - בהגדרת מונח זה בסעיף 223 לחוק הביטוח הלאומי [נוסח</w:t>
                        </w:r>
                      </w:p>
                      <w:p w:rsidR="00F7589D" w:rsidRPr="00F7589D" w:rsidRDefault="00F7589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משולב], התשנ'ה-1995 1.</w:t>
                        </w:r>
                      </w:p>
                    </w:tc>
                    <w:tc>
                      <w:tcPr>
                        <w:tcW w:w="801" w:type="pct"/>
                      </w:tcPr>
                      <w:p w:rsidR="00F7589D" w:rsidRPr="00F7589D" w:rsidRDefault="00F7589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הגדרת מחלה</w:t>
                        </w:r>
                      </w:p>
                    </w:tc>
                  </w:tr>
                  <w:tr w:rsidR="00F7589D" w:rsidRPr="00F7589D">
                    <w:trPr>
                      <w:jc w:val="right"/>
                    </w:trPr>
                    <w:tc>
                      <w:tcPr>
                        <w:tcW w:w="4199" w:type="pct"/>
                      </w:tcPr>
                      <w:p w:rsidR="00F7589D" w:rsidRPr="00F7589D" w:rsidRDefault="00F7589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חוק זה בא להוסיף על זכות עובד מכוח דין או הסכם ולא לגרוע ממנה.</w:t>
                        </w:r>
                      </w:p>
                    </w:tc>
                    <w:tc>
                      <w:tcPr>
                        <w:tcW w:w="801" w:type="pct"/>
                      </w:tcPr>
                      <w:p w:rsidR="00F7589D" w:rsidRPr="00F7589D" w:rsidRDefault="00F7589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שמירת זכויות</w:t>
                        </w:r>
                      </w:p>
                    </w:tc>
                  </w:tr>
                  <w:tr w:rsidR="00F7589D" w:rsidRPr="00F7589D">
                    <w:trPr>
                      <w:jc w:val="right"/>
                    </w:trPr>
                    <w:tc>
                      <w:tcPr>
                        <w:tcW w:w="4199" w:type="pct"/>
                      </w:tcPr>
                      <w:p w:rsidR="00F7589D" w:rsidRPr="00F7589D" w:rsidRDefault="00F7589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לענין חוק זה דין המדינה כמעביד כדין בל מעביד אחר.</w:t>
                        </w:r>
                      </w:p>
                    </w:tc>
                    <w:tc>
                      <w:tcPr>
                        <w:tcW w:w="801" w:type="pct"/>
                      </w:tcPr>
                      <w:p w:rsidR="00F7589D" w:rsidRPr="00F7589D" w:rsidRDefault="00F7589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דין המדינה</w:t>
                        </w:r>
                      </w:p>
                    </w:tc>
                  </w:tr>
                  <w:tr w:rsidR="00F7589D" w:rsidRPr="00F7589D">
                    <w:trPr>
                      <w:jc w:val="right"/>
                    </w:trPr>
                    <w:tc>
                      <w:tcPr>
                        <w:tcW w:w="4199" w:type="pct"/>
                      </w:tcPr>
                      <w:p w:rsidR="00F7589D" w:rsidRDefault="00F7589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שר העבודה והרווחה ממונה על ביצוע חוק זה והוא רשאי להתקין תקנות בכל הנוגע</w:t>
                        </w:r>
                      </w:p>
                      <w:p w:rsidR="00F7589D" w:rsidRPr="00F7589D" w:rsidRDefault="00F7589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לביצועו.</w:t>
                        </w:r>
                      </w:p>
                    </w:tc>
                    <w:tc>
                      <w:tcPr>
                        <w:tcW w:w="801" w:type="pct"/>
                      </w:tcPr>
                      <w:p w:rsidR="00F7589D" w:rsidRPr="00F7589D" w:rsidRDefault="00F7589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ביצוע ותקנות</w:t>
                        </w:r>
                      </w:p>
                    </w:tc>
                  </w:tr>
                </w:tbl>
                <w:p w:rsidR="00F7589D" w:rsidRDefault="00F7589D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8328" o:spid="_x0000_s1032" type="#_x0000_t202" style="position:absolute;left:0;text-align:left;margin-left:124.25pt;margin-top:71.15pt;width:335.8pt;height:21.4pt;z-index:1;mso-position-horizontal-relative:page;mso-position-vertical-relative:page" stroked="f">
            <v:textbox style="mso-next-textbox:#_x0000_s48328" inset="0,0,0,0">
              <w:txbxContent>
                <w:p w:rsidR="00F7589D" w:rsidRPr="00F7589D" w:rsidRDefault="00F7589D">
                  <w:pPr>
                    <w:pStyle w:val="OCRStyle1"/>
                    <w:ind w:left="313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דמי מחלה (היעדרות בשל מחלת בן זוג), התשנ"ח-1998*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F7589D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7589D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313A5569-ACCC-473B-8C85-3A9C8F78FB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F7589D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2008-04-07T10:46:00Z</dcterms:created>
  <dcterms:modified xsi:type="dcterms:W3CDTF">2008-04-07T10:46:00Z</dcterms:modified>
</cp:coreProperties>
</file>