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3D24" w:rsidRDefault="00283D24">
      <w:pPr>
        <w:rPr>
          <w:rtl/>
        </w:rPr>
      </w:pPr>
    </w:p>
    <w:p w:rsidR="00283D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3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339" inset="0,0,0,0">
              <w:txbxContent>
                <w:p w:rsidR="00283D24" w:rsidRDefault="00283D24">
                  <w:r>
                    <w:rPr>
                      <w:rtl/>
                    </w:rPr>
                    <w:t>236                                         ספר החוקים 1669                 י"ח בסיוון התשנ"ח 12.06.1998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0" o:spid="_x0000_s1026" type="#_x0000_t202" style="position:absolute;left:0;text-align:left;margin-left:96.7pt;margin-top:400.85pt;width:389.45pt;height:50.3pt;z-index:7;mso-position-horizontal-relative:page;mso-position-vertical-relative:page" stroked="f">
            <v:textbox style="mso-next-textbox:#_x0000_s48340" inset="0,0,0,0">
              <w:txbxContent>
                <w:p w:rsidR="00283D24" w:rsidRDefault="00283D2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 בסיון התשנ"ח (2 ביוני 1998) הצעת החוק ודברי הסבר פורסמו בהצעות חוק 2597,</w:t>
                  </w:r>
                </w:p>
                <w:p w:rsidR="00283D24" w:rsidRDefault="00283D24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מיום א באדר ב התשנ"ז (10 במרס 1998), עמ 232</w:t>
                  </w:r>
                </w:p>
                <w:p w:rsidR="00283D24" w:rsidRDefault="00283D2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 20, התשל"ח, עמ' 48, התשנ"ו, עמ' 34</w:t>
                  </w:r>
                </w:p>
                <w:p w:rsidR="00283D24" w:rsidRPr="00283D24" w:rsidRDefault="00283D2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ע"ר התש"ח תוס' א' עמ' 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1" o:spid="_x0000_s1027" type="#_x0000_t202" style="position:absolute;left:0;text-align:left;margin-left:203.2pt;margin-top:352.15pt;width:100.6pt;height:27.15pt;z-index:6;mso-position-horizontal-relative:page;mso-position-vertical-relative:page" stroked="f">
            <v:textbox style="mso-next-textbox:#_x0000_s48341" inset="0,0,0,0">
              <w:txbxContent>
                <w:p w:rsidR="00283D24" w:rsidRDefault="00283D2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83D24" w:rsidRDefault="00283D24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2" o:spid="_x0000_s1028" type="#_x0000_t202" style="position:absolute;left:0;text-align:left;margin-left:113.1pt;margin-top:323.25pt;width:94.05pt;height:28.7pt;z-index:5;mso-position-horizontal-relative:page;mso-position-vertical-relative:page" stroked="f">
            <v:textbox style="mso-next-textbox:#_x0000_s48342" inset="0,0,0,0">
              <w:txbxContent>
                <w:p w:rsidR="00283D24" w:rsidRDefault="00283D2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283D24" w:rsidRDefault="00283D24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3" o:spid="_x0000_s1029" type="#_x0000_t202" style="position:absolute;left:0;text-align:left;margin-left:390.3pt;margin-top:349.55pt;width:81.75pt;height:33.05pt;z-index:4;mso-position-horizontal-relative:page;mso-position-vertical-relative:page" stroked="f">
            <v:textbox style="mso-next-textbox:#_x0000_s48343" inset="0,0,0,0">
              <w:txbxContent>
                <w:p w:rsidR="00283D24" w:rsidRDefault="00283D24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83D24" w:rsidRDefault="00283D2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4" o:spid="_x0000_s1030" type="#_x0000_t202" style="position:absolute;left:0;text-align:left;margin-left:288.15pt;margin-top:325.6pt;width:100.6pt;height:23.95pt;z-index:3;mso-position-horizontal-relative:page;mso-position-vertical-relative:page" stroked="f">
            <v:textbox style="mso-next-textbox:#_x0000_s48344" inset="0,0,0,0">
              <w:txbxContent>
                <w:p w:rsidR="00283D24" w:rsidRDefault="00283D2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83D24" w:rsidRDefault="00283D24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45" o:spid="_x0000_s1031" type="#_x0000_t202" style="position:absolute;left:0;text-align:left;margin-left:80.25pt;margin-top:95.55pt;width:475.2pt;height:220.2pt;z-index:2;mso-position-horizontal-relative:page;mso-position-vertical-relative:page" stroked="f">
            <v:textbox style="mso-next-textbox:#_x0000_s4834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2"/>
                    <w:gridCol w:w="1289"/>
                  </w:tblGrid>
                  <w:tr w:rsidR="00283D24" w:rsidRPr="00283D24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283D24" w:rsidRDefault="00283D2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"אזור'' - כהגדרתו בתוספת לחוק להארכת תוקפן של תקנות שעת חירום (יהודה והשומרון</w:t>
                        </w:r>
                      </w:p>
                      <w:p w:rsid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וחבל עזה - שיפוט בעבירות ועזרה משפטית), התשכ"ח-1967 1;</w:t>
                        </w:r>
                      </w:p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"מצבת זכרון' - למעט הקבר והמצבה שעליו.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83D24" w:rsidRPr="00283D24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תוקם מצבת זכרון לזכר מבצע מעשה טרור</w:t>
                        </w:r>
                      </w:p>
                    </w:tc>
                    <w:tc>
                      <w:tcPr>
                        <w:tcW w:w="746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הקמה</w:t>
                        </w:r>
                      </w:p>
                    </w:tc>
                  </w:tr>
                  <w:tr w:rsidR="00283D24" w:rsidRPr="00283D24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מצבת זכרון שהקמתה מהווה עבירה לפי סעיף 4 לפקודת מניעת טרור,</w:t>
                        </w:r>
                      </w:p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התש'ח-1948 2, תוסר ממקומה.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הסרה</w:t>
                        </w:r>
                      </w:p>
                    </w:tc>
                  </w:tr>
                  <w:tr w:rsidR="00283D24" w:rsidRPr="00283D24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הפנים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83D24" w:rsidRPr="00283D24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חוק זה יחולו גם על מצבות זכרון שהוקמו לפני תחילתו של חוק 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283D24" w:rsidRPr="00283D24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הבטחון יורה למפקד כוחות צבא הגנה לישראל באזור, להורות על הסרת מצבות</w:t>
                        </w:r>
                      </w:p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לברון שהוקמו באזור ושהקמתן מהווה עבירה כאמור בסעיף .2</w:t>
                        </w:r>
                      </w:p>
                    </w:tc>
                    <w:tc>
                      <w:tcPr>
                        <w:tcW w:w="746" w:type="pct"/>
                      </w:tcPr>
                      <w:p w:rsidR="00283D24" w:rsidRPr="00283D24" w:rsidRDefault="00283D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תחולה</w:t>
                        </w:r>
                      </w:p>
                    </w:tc>
                  </w:tr>
                </w:tbl>
                <w:p w:rsidR="00283D24" w:rsidRDefault="00283D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46" o:spid="_x0000_s1032" type="#_x0000_t202" style="position:absolute;left:0;text-align:left;margin-left:86pt;margin-top:71.55pt;width:400.15pt;height:23.95pt;z-index:1;mso-position-horizontal-relative:page;mso-position-vertical-relative:page" stroked="f">
            <v:textbox style="mso-next-textbox:#_x0000_s48346" inset="0,0,0,0">
              <w:txbxContent>
                <w:p w:rsidR="00283D24" w:rsidRPr="00283D24" w:rsidRDefault="00283D24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הקמת מעבות זכרון לזכר מבצעי מעשי טרור, התשנ"ח- 1998*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3D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179119-8023-48D0-8515-F7D0C62F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3D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2008-04-07T10:46:00Z</dcterms:created>
  <dcterms:modified xsi:type="dcterms:W3CDTF">2008-04-07T10:46:00Z</dcterms:modified>
</cp:coreProperties>
</file>