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2353B" w:rsidRDefault="00D2353B">
      <w:pPr>
        <w:rPr>
          <w:rtl/>
        </w:rPr>
      </w:pPr>
    </w:p>
    <w:p w:rsidR="00D2353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49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8492" inset="0,0,0,0">
              <w:txbxContent>
                <w:p w:rsidR="00AA5D64" w:rsidRDefault="00AA5D64">
                  <w:r>
                    <w:rPr>
                      <w:rtl/>
                    </w:rPr>
                    <w:t>114                                         ספר החוקים 1650                    ט' בשבט התשנ"ח 05.02.1998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493" o:spid="_x0000_s1026" type="#_x0000_t202" style="position:absolute;left:0;text-align:left;margin-left:96pt;margin-top:648.15pt;width:382.75pt;height:104.75pt;z-index:3;mso-position-horizontal-relative:page;mso-position-vertical-relative:page" stroked="f">
            <v:textbox style="mso-next-textbox:#_x0000_s48493" inset="0,0,0,0">
              <w:txbxContent>
                <w:p w:rsidR="00AA5D64" w:rsidRDefault="00AA5D64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כ"ט בטבת התשנ"ח (27 בינואר 1998), הצעת החוק ודברי הסבר פורסמו בהצעות חוק</w:t>
                  </w:r>
                </w:p>
                <w:p w:rsidR="00AA5D64" w:rsidRDefault="00AA5D64">
                  <w:pPr>
                    <w:pStyle w:val="OCRStyle1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2629, מיום י-ח בסיון התשנ"ז (25 ביוני 1997), עמ' 92ג, בהצעות חוק 2620, מיום ב' באייר התשנ"ז (27</w:t>
                  </w:r>
                </w:p>
                <w:p w:rsidR="00AA5D64" w:rsidRDefault="00AA5D64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במאי 1997), עמ 346 ובהצעות חוק 2623, מיום י-א בסיון התשנ-ז (16 ביוני 1997), עמ' 354</w:t>
                  </w:r>
                </w:p>
                <w:p w:rsidR="00AA5D64" w:rsidRDefault="00AA5D64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י ס''ח התשי-ד, עמ' 154, התשנ-ו, עמ' 181 ועמ' 219.</w:t>
                  </w:r>
                </w:p>
                <w:p w:rsidR="00AA5D64" w:rsidRDefault="00AA5D64">
                  <w:pPr>
                    <w:pStyle w:val="OCRStyle1"/>
                    <w:ind w:left="137"/>
                  </w:pPr>
                  <w:r>
                    <w:rPr>
                      <w:rtl/>
                    </w:rPr>
                    <w:t>2 ס"ח התשנ"ו, עמ' 201</w:t>
                  </w:r>
                </w:p>
              </w:txbxContent>
            </v:textbox>
            <w10:wrap anchorx="page" anchory="page"/>
          </v:shape>
        </w:pict>
      </w:r>
      <w:r>
        <w:pict>
          <v:shape id="_x0000_s48494" o:spid="_x0000_s1027" type="#_x0000_t202" style="position:absolute;left:0;text-align:left;margin-left:76.2pt;margin-top:102.9pt;width:487.5pt;height:536.2pt;z-index:2;mso-position-horizontal-relative:page;mso-position-vertical-relative:page" stroked="f">
            <v:textbox style="mso-next-textbox:#_x0000_s48494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89"/>
                    <w:gridCol w:w="1091"/>
                    <w:gridCol w:w="1587"/>
                  </w:tblGrid>
                  <w:tr w:rsidR="00AA5D64">
                    <w:trPr>
                      <w:jc w:val="right"/>
                    </w:trPr>
                    <w:tc>
                      <w:tcPr>
                        <w:tcW w:w="4105" w:type="pct"/>
                        <w:gridSpan w:val="2"/>
                      </w:tcPr>
                      <w:p w:rsidR="00AA5D64" w:rsidRDefault="00AA5D64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עבודת נשים, התשי'ד-1954 1 (להלן - החוק העיקרי), בסעיף 6א -</w:t>
                        </w:r>
                      </w:p>
                      <w:p w:rsidR="00AA5D64" w:rsidRDefault="00AA5D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האמור בו יסומן "(א)" ובו, במקום "האמור בסעיף 6 ובסעיף 7(ד)" יבוא 'האמור</w:t>
                        </w:r>
                      </w:p>
                      <w:p w:rsidR="00AA5D64" w:rsidRDefault="00AA5D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בסעיפים 6 7(ד)ו-9(ג)" במקום "התש"ך-1960" יבוא "התשמ"א-1981", ובסופו יבוא</w:t>
                        </w:r>
                      </w:p>
                      <w:p w:rsidR="00AA5D64" w:rsidRDefault="00AA5D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'לענין סעיף זה י עובדת" - לרבות עובד";</w:t>
                        </w:r>
                      </w:p>
                      <w:p w:rsidR="00AA5D64" w:rsidRDefault="00AA5D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(א) יבוא;</w:t>
                        </w:r>
                      </w:p>
                      <w:p w:rsidR="00AA5D64" w:rsidRDefault="00AA5D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התקבל ילד לאימוץ על ידי שני בני זוג, יחולו ההוראות בדבר החופשה</w:t>
                        </w:r>
                      </w:p>
                      <w:p w:rsidR="00AA5D64" w:rsidRDefault="00AA5D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העיקרית רק על אחד מהם, לפי בחירתם, בהתאם לתקנות שקבע שר העבודה</w:t>
                        </w:r>
                      </w:p>
                      <w:p w:rsidR="00AA5D64" w:rsidRPr="00D2353B" w:rsidRDefault="00AA5D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והרווחה באישור ועדת העבודה והרווחה של הכנסת."</w:t>
                        </w:r>
                      </w:p>
                    </w:tc>
                    <w:tc>
                      <w:tcPr>
                        <w:tcW w:w="895" w:type="pct"/>
                      </w:tcPr>
                      <w:p w:rsidR="00AA5D64" w:rsidRDefault="00AA5D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6א</w:t>
                        </w:r>
                      </w:p>
                    </w:tc>
                  </w:tr>
                  <w:tr w:rsidR="00AA5D64">
                    <w:trPr>
                      <w:jc w:val="right"/>
                    </w:trPr>
                    <w:tc>
                      <w:tcPr>
                        <w:tcW w:w="4105" w:type="pct"/>
                        <w:gridSpan w:val="2"/>
                      </w:tcPr>
                      <w:p w:rsidR="00AA5D64" w:rsidRDefault="00AA5D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במקום סעיף 9(ב) לחוק העיקרי יבוא.</w:t>
                        </w:r>
                      </w:p>
                      <w:p w:rsidR="00AA5D64" w:rsidRDefault="00AA5D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'(ב) היה המעביד קבלן כוח אדם והעובדת הועסקה אצלו בפועל במשך שישה</w:t>
                        </w:r>
                      </w:p>
                      <w:p w:rsidR="00AA5D64" w:rsidRDefault="00AA5D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חודשים לפחות יראו לענין סעיף קטן (א), גם הפסקה זמנית של העסקתה כפיטורים,</w:t>
                        </w:r>
                      </w:p>
                      <w:p w:rsidR="00AA5D64" w:rsidRDefault="00AA5D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זה קבלן כוח אדם" - כהגדרתו בסעיף ו לחוק העסקת עובדים על ידי קבלני</w:t>
                        </w:r>
                      </w:p>
                      <w:p w:rsidR="00AA5D64" w:rsidRDefault="00AA5D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כוח ארם התשנ ו-996ו2</w:t>
                        </w:r>
                      </w:p>
                      <w:p w:rsidR="00AA5D64" w:rsidRDefault="00AA5D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(1) לא יפטר מעביד עובדת בחופשת לידה, בימי העדרה מעבודה לפי סעיף</w:t>
                        </w:r>
                      </w:p>
                      <w:p w:rsidR="00AA5D64" w:rsidRDefault="00AA5D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7(ג)(2) או במשך תקופה של ארבעים וחמישה ימים לאחר תום חופשת הלידה</w:t>
                        </w:r>
                      </w:p>
                      <w:p w:rsidR="00AA5D64" w:rsidRDefault="00AA5D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ימי ההיעדרות כאמור ולא יתן הודעת פיטורים למועד החל בתקופות</w:t>
                        </w:r>
                      </w:p>
                      <w:p w:rsidR="00AA5D64" w:rsidRDefault="00AA5D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האמורות</w:t>
                        </w:r>
                      </w:p>
                      <w:p w:rsidR="00AA5D64" w:rsidRDefault="00AA5D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יפטר מעביד עובד או עובדת, בימי העדרם מהעבודה לפי סעיף 7(ד)(1)</w:t>
                        </w:r>
                      </w:p>
                      <w:p w:rsidR="00AA5D64" w:rsidRDefault="00AA5D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במשך תקופה של ארבעים וחמישה ימים לאחר תום ההיעדרות כאמור, ולא</w:t>
                        </w:r>
                      </w:p>
                      <w:p w:rsidR="00AA5D64" w:rsidRDefault="00AA5D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יתן הודעת פיטורים למועד החל בתקופות האמורות, אלא בהיתר מאת שר</w:t>
                        </w:r>
                      </w:p>
                      <w:p w:rsidR="00AA5D64" w:rsidRDefault="00AA5D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והרווחה '</w:t>
                        </w:r>
                      </w:p>
                    </w:tc>
                    <w:tc>
                      <w:tcPr>
                        <w:tcW w:w="895" w:type="pct"/>
                      </w:tcPr>
                      <w:p w:rsidR="00AA5D64" w:rsidRDefault="00AA5D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</w:tr>
                  <w:tr w:rsidR="00AA5D64">
                    <w:trPr>
                      <w:jc w:val="right"/>
                    </w:trPr>
                    <w:tc>
                      <w:tcPr>
                        <w:tcW w:w="4105" w:type="pct"/>
                        <w:gridSpan w:val="2"/>
                      </w:tcPr>
                      <w:p w:rsidR="00AA5D64" w:rsidRDefault="00AA5D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אחרי סעיף 9 לחוק העיקרי יבוא</w:t>
                        </w:r>
                      </w:p>
                    </w:tc>
                    <w:tc>
                      <w:tcPr>
                        <w:tcW w:w="895" w:type="pct"/>
                      </w:tcPr>
                      <w:p w:rsidR="00AA5D64" w:rsidRDefault="00AA5D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9א</w:t>
                        </w:r>
                      </w:p>
                    </w:tc>
                  </w:tr>
                  <w:tr w:rsidR="00AA5D64">
                    <w:trPr>
                      <w:jc w:val="right"/>
                    </w:trPr>
                    <w:tc>
                      <w:tcPr>
                        <w:tcW w:w="3490" w:type="pct"/>
                      </w:tcPr>
                      <w:p w:rsidR="00AA5D64" w:rsidRDefault="00AA5D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9א לא יפגע מעביד בהיקף המשרה של עובדת בהריון באופן העלול</w:t>
                        </w:r>
                      </w:p>
                      <w:p w:rsidR="00AA5D64" w:rsidRDefault="00AA5D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להקטין את הכנסתה, אלא בהיתר מאת שר העבודה והרווחה, ולא יתיר</w:t>
                        </w:r>
                      </w:p>
                      <w:p w:rsidR="00AA5D64" w:rsidRDefault="00AA5D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פגיעה כאמור אם הפגיעה היא, לרעתו, בקשר להריון; הוראות סעיף</w:t>
                        </w:r>
                      </w:p>
                      <w:p w:rsidR="00AA5D64" w:rsidRDefault="00AA5D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יחולו הן על עובדת קבועה והן על עובדת ארעית או זמנית, ובלבד</w:t>
                        </w:r>
                      </w:p>
                      <w:p w:rsidR="00AA5D64" w:rsidRDefault="00AA5D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שהעובדת עבדה אצל אותו מעביד או באותו מקום עבודה שישה חודשים</w:t>
                        </w:r>
                      </w:p>
                      <w:p w:rsidR="00AA5D64" w:rsidRDefault="00AA5D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לפחות."</w:t>
                        </w:r>
                      </w:p>
                    </w:tc>
                    <w:tc>
                      <w:tcPr>
                        <w:tcW w:w="615" w:type="pct"/>
                      </w:tcPr>
                      <w:p w:rsidR="00AA5D64" w:rsidRDefault="00AA5D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פגיעה</w:t>
                        </w:r>
                      </w:p>
                      <w:p w:rsidR="00AA5D64" w:rsidRDefault="00AA5D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בדיקה משרד</w:t>
                        </w:r>
                      </w:p>
                    </w:tc>
                    <w:tc>
                      <w:tcPr>
                        <w:tcW w:w="895" w:type="pct"/>
                      </w:tcPr>
                      <w:p w:rsidR="00AA5D64" w:rsidRDefault="00AA5D6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AA5D64">
                    <w:trPr>
                      <w:jc w:val="right"/>
                    </w:trPr>
                    <w:tc>
                      <w:tcPr>
                        <w:tcW w:w="4105" w:type="pct"/>
                        <w:gridSpan w:val="2"/>
                      </w:tcPr>
                      <w:p w:rsidR="00AA5D64" w:rsidRDefault="00AA5D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האמור בסעיף 10 לחוק העיקרי יסומן "(א)" ואחריו יבוא:</w:t>
                        </w:r>
                      </w:p>
                      <w:p w:rsidR="00AA5D64" w:rsidRDefault="00AA5D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על אף הוראות סעיף קטן (א), רשאי מעביד להעביד עובדת בהריון, בשעות</w:t>
                        </w:r>
                      </w:p>
                      <w:p w:rsidR="00AA5D64" w:rsidRDefault="00AA5D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נוספות, אם העובדת הסכימה לכך בכתב ומסרה למעבידה אישור רפואי של רופא</w:t>
                        </w:r>
                      </w:p>
                      <w:p w:rsidR="00AA5D64" w:rsidRDefault="00AA5D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מומחה ביילוד ובגינקולוגיה, כי אין מניעה להעבירה בשעות נוספות, ובכפוף לתנאי</w:t>
                        </w:r>
                      </w:p>
                      <w:p w:rsidR="00AA5D64" w:rsidRDefault="00AA5D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האישור."</w:t>
                        </w:r>
                      </w:p>
                    </w:tc>
                    <w:tc>
                      <w:tcPr>
                        <w:tcW w:w="895" w:type="pct"/>
                      </w:tcPr>
                      <w:p w:rsidR="00AA5D64" w:rsidRDefault="00AA5D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</w:tr>
                </w:tbl>
                <w:p w:rsidR="00AA5D64" w:rsidRDefault="00AA5D6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495" o:spid="_x0000_s1028" type="#_x0000_t202" style="position:absolute;left:0;text-align:left;margin-left:148.65pt;margin-top:62.3pt;width:269.85pt;height:36.45pt;z-index:1;mso-position-horizontal-relative:page;mso-position-vertical-relative:page" stroked="f">
            <v:textbox style="mso-next-textbox:#_x0000_s48495" inset="0,0,0,0">
              <w:txbxContent>
                <w:p w:rsidR="00AA5D64" w:rsidRPr="00D2353B" w:rsidRDefault="00AA5D64">
                  <w:pPr>
                    <w:pStyle w:val="OCRStyle1"/>
                    <w:ind w:left="15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עבודת נשים (תיקון מס' 15), התשנ"ח-1998*</w:t>
                  </w:r>
                </w:p>
              </w:txbxContent>
            </v:textbox>
            <w10:wrap anchorx="page" anchory="page"/>
          </v:shape>
        </w:pict>
      </w:r>
    </w:p>
    <w:p w:rsidR="00AA5D64" w:rsidRDefault="00AA5D64">
      <w:pPr>
        <w:rPr>
          <w:rtl/>
        </w:rPr>
      </w:pPr>
      <w:r>
        <w:rPr>
          <w:rtl/>
        </w:rPr>
        <w:br w:type="page"/>
      </w:r>
    </w:p>
    <w:p w:rsidR="00AA5D64" w:rsidRDefault="00000000">
      <w:pPr>
        <w:rPr>
          <w:rtl/>
        </w:rPr>
      </w:pPr>
      <w:r>
        <w:pict>
          <v:shape id="_x0000_s48496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48496" inset="0,0,0,0">
              <w:txbxContent>
                <w:p w:rsidR="00AA5D64" w:rsidRDefault="00AA5D64">
                  <w:r>
                    <w:rPr>
                      <w:rtl/>
                    </w:rPr>
                    <w:t>115                                         ספר החוקים 1650                    ט' בשבט התשנ"ח 05.02.1998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497" o:spid="_x0000_s1030" type="#_x0000_t202" style="position:absolute;left:0;text-align:left;margin-left:426.25pt;margin-top:499.45pt;width:113.85pt;height:19.8pt;z-index:10;mso-position-horizontal-relative:page;mso-position-vertical-relative:page" stroked="f">
            <v:textbox style="mso-next-textbox:#_x0000_s48497" inset="0,0,0,0">
              <w:txbxContent>
                <w:p w:rsidR="00AA5D64" w:rsidRPr="00AA5D64" w:rsidRDefault="00AA5D64">
                  <w:pPr>
                    <w:pStyle w:val="OCRStyle2"/>
                    <w:ind w:left="238"/>
                  </w:pPr>
                  <w:r>
                    <w:rPr>
                      <w:rtl/>
                    </w:rPr>
                    <w:t>3 ס"ח התשנ"ה, עמ' 207.</w:t>
                  </w:r>
                </w:p>
              </w:txbxContent>
            </v:textbox>
            <w10:wrap anchorx="page" anchory="page"/>
          </v:shape>
        </w:pict>
      </w:r>
      <w:r>
        <w:pict>
          <v:shape id="_x0000_s48498" o:spid="_x0000_s1031" type="#_x0000_t202" style="position:absolute;left:0;text-align:left;margin-left:170.45pt;margin-top:416.9pt;width:106.5pt;height:36.25pt;z-index:9;mso-position-horizontal-relative:page;mso-position-vertical-relative:page" stroked="f">
            <v:textbox style="mso-next-textbox:#_x0000_s48498" inset="0,0,0,0">
              <w:txbxContent>
                <w:p w:rsidR="00AA5D64" w:rsidRDefault="00AA5D64">
                  <w:pPr>
                    <w:pStyle w:val="OCRStyle2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אליהו ישי</w:t>
                  </w:r>
                </w:p>
                <w:p w:rsidR="00AA5D64" w:rsidRDefault="00AA5D64">
                  <w:pPr>
                    <w:pStyle w:val="OCRStyle2"/>
                    <w:ind w:left="130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499" o:spid="_x0000_s1032" type="#_x0000_t202" style="position:absolute;left:0;text-align:left;margin-left:289.25pt;margin-top:450.95pt;width:88.3pt;height:34.45pt;z-index:8;mso-position-horizontal-relative:page;mso-position-vertical-relative:page" stroked="f">
            <v:textbox style="mso-next-textbox:#_x0000_s48499" inset="0,0,0,0">
              <w:txbxContent>
                <w:p w:rsidR="00AA5D64" w:rsidRDefault="00AA5D64">
                  <w:pPr>
                    <w:pStyle w:val="OCRStyle2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AA5D64" w:rsidRDefault="00AA5D64">
                  <w:pPr>
                    <w:pStyle w:val="OCRStyle2"/>
                    <w:ind w:left="14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8500" o:spid="_x0000_s1033" type="#_x0000_t202" style="position:absolute;left:0;text-align:left;margin-left:370.2pt;margin-top:416.9pt;width:84.95pt;height:33.85pt;z-index:7;mso-position-horizontal-relative:page;mso-position-vertical-relative:page" stroked="f">
            <v:textbox style="mso-next-textbox:#_x0000_s48500" inset="0,0,0,0">
              <w:txbxContent>
                <w:p w:rsidR="00AA5D64" w:rsidRDefault="00AA5D64">
                  <w:pPr>
                    <w:pStyle w:val="OCRStyle2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AA5D64" w:rsidRDefault="00AA5D64">
                  <w:pPr>
                    <w:pStyle w:val="OCRStyle2"/>
                    <w:ind w:left="25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501" o:spid="_x0000_s1034" type="#_x0000_t202" style="position:absolute;left:0;text-align:left;margin-left:460.9pt;margin-top:448.2pt;width:64.35pt;height:31.5pt;z-index:6;mso-position-horizontal-relative:page;mso-position-vertical-relative:page" stroked="f">
            <v:textbox style="mso-next-textbox:#_x0000_s48501" inset="0,0,0,0">
              <w:txbxContent>
                <w:p w:rsidR="00AA5D64" w:rsidRDefault="00AA5D64">
                  <w:pPr>
                    <w:pStyle w:val="OCRStyle2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AA5D64" w:rsidRDefault="00AA5D64">
                  <w:pPr>
                    <w:pStyle w:val="OCRStyle2"/>
                    <w:ind w:left="15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502" o:spid="_x0000_s1035" type="#_x0000_t202" style="position:absolute;left:0;text-align:left;margin-left:77.35pt;margin-top:65.45pt;width:466.1pt;height:347.3pt;z-index:5;mso-position-horizontal-relative:page;mso-position-vertical-relative:page" stroked="f">
            <v:textbox style="mso-next-textbox:#_x0000_s4850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51"/>
                    <w:gridCol w:w="7123"/>
                  </w:tblGrid>
                  <w:tr w:rsidR="00AA5D64" w:rsidRPr="00AA5D64">
                    <w:trPr>
                      <w:jc w:val="right"/>
                    </w:trPr>
                    <w:tc>
                      <w:tcPr>
                        <w:tcW w:w="797" w:type="pct"/>
                      </w:tcPr>
                      <w:p w:rsidR="00AA5D64" w:rsidRDefault="00AA5D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AA5D64" w:rsidRDefault="00AA5D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הלאומי</w:t>
                        </w:r>
                      </w:p>
                      <w:p w:rsidR="00AA5D64" w:rsidRPr="00AA5D64" w:rsidRDefault="00AA5D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מס' ו2</w:t>
                        </w:r>
                      </w:p>
                    </w:tc>
                    <w:tc>
                      <w:tcPr>
                        <w:tcW w:w="4203" w:type="pct"/>
                      </w:tcPr>
                      <w:p w:rsidR="00AA5D64" w:rsidRDefault="00AA5D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בחוק הביטוח הלאומי [נוסח משולב], התשנ"ה-995 ו5, בסעיף 57, במקום סעיף קטן (ג)</w:t>
                        </w:r>
                      </w:p>
                      <w:p w:rsidR="00AA5D64" w:rsidRDefault="00AA5D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AA5D64" w:rsidRDefault="00AA5D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על אף הוראות סעיף 49(א), מבוטחת לדמי לידה שקיבלה לאימוץ ילד עד</w:t>
                        </w:r>
                      </w:p>
                      <w:p w:rsidR="00AA5D64" w:rsidRDefault="00AA5D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גיל 10 תהיה זכאית לדמי לירה לפי הוראות סימן ג', בשינויים המחויבים, בעד פרק</w:t>
                        </w:r>
                      </w:p>
                      <w:p w:rsidR="00AA5D64" w:rsidRDefault="00AA5D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הזמן שלרגל האימוץ אין היא עוברת או עוסקת במשלח ידה, ובלבד שלענין זה יהיה</w:t>
                        </w:r>
                      </w:p>
                      <w:p w:rsidR="00AA5D64" w:rsidRDefault="00AA5D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"היום הקובע" - היום שבו ניתנה הודעה לפקיד סעד כאמור בסעיף 6 לחוק</w:t>
                        </w:r>
                      </w:p>
                      <w:p w:rsidR="00AA5D64" w:rsidRDefault="00AA5D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האימוץ.</w:t>
                        </w:r>
                      </w:p>
                      <w:p w:rsidR="00AA5D64" w:rsidRDefault="00AA5D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הוראות סעיף קטן (ג) יחולו על עובד או עובד עצמאי שמתקיים בו האמור</w:t>
                        </w:r>
                      </w:p>
                      <w:p w:rsidR="00AA5D64" w:rsidRDefault="00AA5D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40(ב)(1),  בשינויים המחויבים.</w:t>
                        </w:r>
                      </w:p>
                      <w:p w:rsidR="00AA5D64" w:rsidRDefault="00AA5D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אומץ ילד כאמור בסעיף זה על ידי שני בני זוג, תשולם הגמלה לפי סעיף זה</w:t>
                        </w:r>
                      </w:p>
                      <w:p w:rsidR="00AA5D64" w:rsidRDefault="00AA5D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לאחד מההורים המאמצים לפי בחירתם, ובלבד שאם שולמה הגמלה, כולה או</w:t>
                        </w:r>
                      </w:p>
                      <w:p w:rsidR="00AA5D64" w:rsidRPr="00AA5D64" w:rsidRDefault="00AA5D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מקצתה, לאחד מבני הזוג, לא יהיה בן הזוג השני זכאי לגמלה בשל אותו אימוץ.''</w:t>
                        </w:r>
                      </w:p>
                    </w:tc>
                  </w:tr>
                  <w:tr w:rsidR="00AA5D64" w:rsidRPr="00AA5D64">
                    <w:trPr>
                      <w:jc w:val="right"/>
                    </w:trPr>
                    <w:tc>
                      <w:tcPr>
                        <w:tcW w:w="797" w:type="pct"/>
                      </w:tcPr>
                      <w:p w:rsidR="00AA5D64" w:rsidRPr="00AA5D64" w:rsidRDefault="00AA5D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ותחולה</w:t>
                        </w:r>
                      </w:p>
                    </w:tc>
                    <w:tc>
                      <w:tcPr>
                        <w:tcW w:w="4203" w:type="pct"/>
                      </w:tcPr>
                      <w:p w:rsidR="00AA5D64" w:rsidRDefault="00AA5D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יא) תחילתו של חוק זה ב- ו בחודש שלאחר פרסומו, ואולם תחילתם של הסעיפים,</w:t>
                        </w:r>
                      </w:p>
                      <w:p w:rsidR="00AA5D64" w:rsidRDefault="00AA5D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כמפורט להלן, ביום ה' באייר התשנ"ח (ו במאי 1998) -</w:t>
                        </w:r>
                      </w:p>
                      <w:p w:rsidR="00AA5D64" w:rsidRDefault="00AA5D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סעיף 6א לחוק עבודת נשים, התשי"ד-954ו, כנוסחו בסעיף 1 לחוק זה,</w:t>
                        </w:r>
                      </w:p>
                      <w:p w:rsidR="00AA5D64" w:rsidRDefault="00AA5D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לענין פיטורין לפי סעיף 9(ג) לחוק האמור כנוסחו בסעיף 2 לחוק זה;</w:t>
                        </w:r>
                      </w:p>
                      <w:p w:rsidR="00AA5D64" w:rsidRDefault="00AA5D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57(ג) (ד) ו-(ה) לחוק הביטוח הלאומי [נוסח משולב], התשנ"ה-1995</w:t>
                        </w:r>
                      </w:p>
                      <w:p w:rsidR="00AA5D64" w:rsidRDefault="00AA5D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חוק הביטוח), כנוסחו בסעיף 5 לחוק זה.</w:t>
                        </w:r>
                      </w:p>
                      <w:p w:rsidR="00AA5D64" w:rsidRDefault="00AA5D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57(ג), (ר) ו-(ה) לחוק הביטוח, כנוסחו בסעיף 5 לחוק זה, יחולו על דמי</w:t>
                        </w:r>
                      </w:p>
                      <w:p w:rsidR="00AA5D64" w:rsidRDefault="00AA5D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לידה המשתלמים למי שהיום הקובע לגביו הוא יום ה' באייר התשנ"ח (ו במאי 1998) או</w:t>
                        </w:r>
                      </w:p>
                      <w:p w:rsidR="00AA5D64" w:rsidRPr="00AA5D64" w:rsidRDefault="00AA5D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לאחריו.</w:t>
                        </w:r>
                      </w:p>
                    </w:tc>
                  </w:tr>
                </w:tbl>
                <w:p w:rsidR="00AA5D64" w:rsidRDefault="00AA5D6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2353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2353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546591F-783C-4208-9FF0-976A51A08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2353B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AA5D6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2008-04-07T10:38:00Z</dcterms:created>
  <dcterms:modified xsi:type="dcterms:W3CDTF">2008-04-07T10:38:00Z</dcterms:modified>
</cp:coreProperties>
</file>