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064C" w:rsidRDefault="00F0064C">
      <w:pPr>
        <w:rPr>
          <w:rtl/>
        </w:rPr>
      </w:pPr>
    </w:p>
    <w:p w:rsidR="00F006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0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8605" inset="0,0,0,0">
              <w:txbxContent>
                <w:p w:rsidR="00EC2FA2" w:rsidRDefault="00EC2FA2">
                  <w:r>
                    <w:rPr>
                      <w:rtl/>
                    </w:rPr>
                    <w:t>240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06" o:spid="_x0000_s1026" type="#_x0000_t202" style="position:absolute;left:0;text-align:left;margin-left:98.7pt;margin-top:723.55pt;width:196.2pt;height:26.75pt;z-index:4;mso-position-horizontal-relative:page;mso-position-vertical-relative:page" stroked="f">
            <v:textbox style="mso-next-textbox:#_x0000_s48606" inset="0,0,0,0">
              <w:txbxContent>
                <w:p w:rsidR="00EC2FA2" w:rsidRDefault="00EC2F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07" o:spid="_x0000_s1027" type="#_x0000_t202" style="position:absolute;left:0;text-align:left;margin-left:95.15pt;margin-top:642.55pt;width:384.9pt;height:57.6pt;z-index:3;mso-position-horizontal-relative:page;mso-position-vertical-relative:page" stroked="f">
            <v:textbox style="mso-next-textbox:#_x0000_s48607" inset="0,0,0,0">
              <w:txbxContent>
                <w:p w:rsidR="00EC2FA2" w:rsidRDefault="00EC2FA2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בסיון התשנ"ח (22 ביוני 998 ו); הצעת החוק ודברי הסבר פורסמו בהצעות חוק</w:t>
                  </w:r>
                </w:p>
                <w:p w:rsidR="00EC2FA2" w:rsidRDefault="00EC2FA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2657, מיום י"א בתמוז התשנ"ז (16 ביולי 1997), עמ' 452.</w:t>
                  </w:r>
                </w:p>
                <w:p w:rsidR="00EC2FA2" w:rsidRDefault="00EC2FA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 ס-ח התשכ-ח עמ' 65; התשנ"ה, עמ- .595</w:t>
                  </w:r>
                </w:p>
                <w:p w:rsidR="00EC2FA2" w:rsidRPr="00F0064C" w:rsidRDefault="00EC2FA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2 ס-ח התשל"ח, עמ' 61; התשמ"ג,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08" o:spid="_x0000_s1028" type="#_x0000_t202" style="position:absolute;left:0;text-align:left;margin-left:98.7pt;margin-top:100.25pt;width:451.85pt;height:540.55pt;z-index:2;mso-position-horizontal-relative:page;mso-position-vertical-relative:page" stroked="f">
            <v:textbox style="mso-next-textbox:#_x0000_s486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8"/>
                    <w:gridCol w:w="1152"/>
                    <w:gridCol w:w="1285"/>
                  </w:tblGrid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הירושה, התשכ"ה-1965 1 (להלן - החוק העיקרי), בסעיף 6 -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"לבית המשפט" יבוא "לרשם לעניני ירושה, או לבית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כאשר הענין הועבר אליו לפי סעיף 67א";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יבוא-.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בחוק זה, "רשם לעניני ירושה" - כמשמעותו בסעיף 65א."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21(א) לחוק העיקרי, במקום "בבית משפט" יבוא "אצל רשם לעניני ירושה-</w:t>
                        </w:r>
                      </w:p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הסיפה החל במילים "לידי שופט או רשם" יבוא "לרשם לעניני ירושה".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2</w:t>
                        </w:r>
                      </w:p>
                    </w:tc>
                  </w:tr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22 לחוק העיקרי -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"שופט או רשם של בית משפט" יבוא "שופט, רשם של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רשם לעניני ירושה" ובמקום "לידי שופט, רשם" יבוא "לידי שופט או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של בית משפט, רשם לעניני ירושה";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בכל מקום, במקום "הרשם" יבוא "הרשם של בית המשפט, הרשם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ירושה";</w:t>
                        </w:r>
                      </w:p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"בבית משפט" יבוא "אצל רשם לעניני ירושה''.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23(ב) לחוק העיקרי, במקום "בבית משפט" יבוא "אצל רשם לעניני ירושה-.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ג2</w:t>
                        </w:r>
                      </w:p>
                    </w:tc>
                  </w:tr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32 לחוק העיקרי, במקום "יתקן בית המשפט את הטעות" יבוא -יתקן את</w:t>
                        </w:r>
                      </w:p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הטעות הרשם לעניני ירושה, או בית המשפט כאשר הענין הועבר אליו לפי סעיף 67א-.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EC2FA2" w:rsidRPr="00F0064C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בפרק החמישי לחוק, לפני סעיף 66 יבוא: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65א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517" w:type="pct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(א) האפוטרופוס הכללי, כמשמעותו בסעיף 2 לחוק האפוטרופוס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התשל"ח-978ו2, יהיה ממונה ארצי לעניני ירושה (להלן -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הארצי), והמשנה לאפוטרופוס הכללי יהיה משנה לממונה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הארצי.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אחד מסגני האפוטרופוס הכללי, הכשיר להיות שופט של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שלום, יהיה רשם לעניני ירושה.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למנות, נוסף על הרשמים לפי סעיף קטן (ב),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המדינה שהאפוטרופוס הכללי ממונה עליו, הכשיר להיות שופט של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שלום, לרשם לעניני ירושה.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שר המשפטים יקבע, בהודעה ברשומות, את אזורי פעולתם של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הרשמים לעניני ירושה.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שמות סגני האפוטרופוס הכללי שהם רשמים לעניני ירושה לפי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(ב) ושמות הרשמים לעניני ירושה שמונו לפי סעיף קטן</w:t>
                        </w:r>
                      </w:p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יפורסמו ברשומות."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ארצי</w:t>
                        </w:r>
                      </w:p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ורשמים לעניני</w:t>
                        </w:r>
                      </w:p>
                      <w:p w:rsidR="00EC2FA2" w:rsidRPr="00F0064C" w:rsidRDefault="00EC2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2FA2" w:rsidRDefault="00EC2F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2FA2" w:rsidRDefault="00EC2F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09" o:spid="_x0000_s1029" type="#_x0000_t202" style="position:absolute;left:0;text-align:left;margin-left:171.75pt;margin-top:74.3pt;width:237.6pt;height:20.8pt;z-index:1;mso-position-horizontal-relative:page;mso-position-vertical-relative:page" stroked="f">
            <v:textbox style="mso-next-textbox:#_x0000_s48609" inset="0,0,0,0">
              <w:txbxContent>
                <w:p w:rsidR="00EC2FA2" w:rsidRPr="00F0064C" w:rsidRDefault="00EC2FA2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הירושה (תיקון מס' 7), התשנ"ח-1998*</w:t>
                  </w:r>
                </w:p>
              </w:txbxContent>
            </v:textbox>
            <w10:wrap anchorx="page" anchory="page"/>
          </v:shape>
        </w:pict>
      </w:r>
    </w:p>
    <w:p w:rsidR="00A61DA4" w:rsidRDefault="00A61DA4">
      <w:pPr>
        <w:rPr>
          <w:rtl/>
        </w:rPr>
      </w:pPr>
      <w:r>
        <w:rPr>
          <w:rtl/>
        </w:rPr>
        <w:br w:type="page"/>
      </w:r>
    </w:p>
    <w:p w:rsidR="00A61DA4" w:rsidRDefault="00000000">
      <w:pPr>
        <w:rPr>
          <w:rtl/>
        </w:rPr>
      </w:pPr>
      <w:r>
        <w:pict>
          <v:shape id="_x0000_s4861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10" inset="0,0,0,0">
              <w:txbxContent>
                <w:p w:rsidR="00EC2FA2" w:rsidRDefault="00EC2FA2">
                  <w:r>
                    <w:rPr>
                      <w:rtl/>
                    </w:rPr>
                    <w:t>241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1" o:spid="_x0000_s1031" type="#_x0000_t202" style="position:absolute;left:0;text-align:left;margin-left:327.65pt;margin-top:686.5pt;width:224.55pt;height:67.7pt;z-index:7;mso-position-horizontal-relative:page;mso-position-vertical-relative:page" stroked="f">
            <v:textbox style="mso-next-textbox:#_x0000_s48611" inset="0,0,0,0">
              <w:txbxContent>
                <w:p w:rsidR="00EC2FA2" w:rsidRDefault="00EC2FA2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5 ס'ח התשנ"ה, עמ' 395.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2" o:spid="_x0000_s1032" type="#_x0000_t202" style="position:absolute;left:0;text-align:left;margin-left:89.25pt;margin-top:69.5pt;width:456.2pt;height:615.4pt;z-index:6;mso-position-horizontal-relative:page;mso-position-vertical-relative:page" stroked="f">
            <v:textbox style="mso-next-textbox:#_x0000_s486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753"/>
                    <w:gridCol w:w="1292"/>
                  </w:tblGrid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66 לחוק העיקרי -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"הצהרה על זכויות היורשים";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"בית המשפט" יבוא "הרשם לעניני ירושה".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67 לחוק העיקרי -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"הגשת התנגדויות";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"בית המשפט" יבוא "הרשם לעניני ירושה" ואחרי "רשאי להגיש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התנגדות" יבוא "לרשם לעניני ירושה".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67א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67 לחוק העיקרי יבוא: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(א) על אף האמור בסעיף 66(א), בקשה לצו ירושה או לצו קיום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לרשם לעניני ירושה תועבר לבית המשפט בכל אחד מאלה: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התנגדות לבקשה;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המרינה או מוסד ממוסדותיה הם צד לבקשה;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 או בא-כוחו ראו לנכון ליזום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לענין הבקשה או להצטרף להליך;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האפוטרופוס הכללי מייצג בבקשה חסוי, קטין או נעדר;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הצוואה נושא הבקשה היא צוואה בעל פה כמשמעותה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בצוואה נושא הבקשה קיים פגם או חסר כמשמעותו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הירושה חלות הוראות הפרק השביעי;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הרשם לעניני ירושה ראה לנכון להעביר את הבקשה לבית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שהדיון בה הועבר לבית המשפט לפי סעיף קטן (א), יראו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כתובענה לפי סעיף ו לחוק בית המשפט לעניני משפחה, התשנ"ה-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 3 , ובית המשפט רשאי להצהיר על זכויות היורשים כאמור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.66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נתן בית המשפט צו ירושה או צו קיום לפי סעיף זה, יועבר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הצו לרשם לעניני ירושה לשם רישום לפי סעיף 73ד."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צו ירושה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 קיום על ידי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68(א) לחוק העיקרי, במקום "מנימוקים שיירשמו" יבוא "או הרשם לעניני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ירושה, מטעמים מיוחדים שיירשמו".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72 לחוק העיקרי יבוא: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נתן רשם לעניני ירושה או בית משפט צו ירושה או צו קיום,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אחד מהם, לגבי צווים שנתן, לפי בקשת מעוניין בדבר, לתקנם או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לבטלם על סמך עובדות או טענות שלא היו בפניו בזמן מתן הצו; ואולם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רשם לעניני ירושה שלא להיזקק לעובדה או לטענה שהמבקש יכול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להביאה לפני מתן הצו, או שיכול היה להביאה לאחר מכן ולא עשה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בהזדמנות הסבירה הראשונה, יעביר את הבקשה לבית המשפט.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וביטול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ירושה</w:t>
                        </w:r>
                      </w:p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צו קיום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9" w:type="pct"/>
                      </w:tcPr>
                      <w:p w:rsidR="00EC2FA2" w:rsidRDefault="00EC2F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2FA2" w:rsidRDefault="00EC2F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906DA" w:rsidRDefault="008906DA">
      <w:pPr>
        <w:rPr>
          <w:rtl/>
        </w:rPr>
      </w:pPr>
      <w:r>
        <w:rPr>
          <w:rtl/>
        </w:rPr>
        <w:br w:type="page"/>
      </w:r>
    </w:p>
    <w:p w:rsidR="008906DA" w:rsidRDefault="00000000">
      <w:pPr>
        <w:rPr>
          <w:rtl/>
        </w:rPr>
      </w:pPr>
      <w:r>
        <w:pict>
          <v:shape id="_x0000_s48613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8613" inset="0,0,0,0">
              <w:txbxContent>
                <w:p w:rsidR="00EC2FA2" w:rsidRDefault="00EC2FA2">
                  <w:r>
                    <w:rPr>
                      <w:rtl/>
                    </w:rPr>
                    <w:t>242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4" o:spid="_x0000_s1034" type="#_x0000_t202" style="position:absolute;left:0;text-align:left;margin-left:101.8pt;margin-top:730.7pt;width:217.8pt;height:14.85pt;z-index:11;mso-position-horizontal-relative:page;mso-position-vertical-relative:page" stroked="f">
            <v:textbox style="mso-next-textbox:#_x0000_s48614" inset="0,0,0,0">
              <w:txbxContent>
                <w:p w:rsidR="00EC2FA2" w:rsidRDefault="00EC2F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615" o:spid="_x0000_s1035" type="#_x0000_t202" style="position:absolute;left:0;text-align:left;margin-left:299.8pt;margin-top:683pt;width:192.25pt;height:28.7pt;z-index:10;mso-position-horizontal-relative:page;mso-position-vertical-relative:page" stroked="f">
            <v:textbox style="mso-next-textbox:#_x0000_s48615" inset="0,0,0,0">
              <w:txbxContent>
                <w:p w:rsidR="00EC2FA2" w:rsidRPr="008906DA" w:rsidRDefault="00EC2FA2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ס"ח התשכ-ט עמ 28 התשמ"ח עמ 294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6" o:spid="_x0000_s1036" type="#_x0000_t202" style="position:absolute;left:0;text-align:left;margin-left:91.9pt;margin-top:67.4pt;width:471.05pt;height:608.85pt;z-index:9;mso-position-horizontal-relative:page;mso-position-vertical-relative:page" stroked="f">
            <v:textbox style="mso-next-textbox:#_x0000_s4861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3"/>
                    <w:gridCol w:w="1362"/>
                    <w:gridCol w:w="1360"/>
                  </w:tblGrid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תוקן או בוטל צו ירושה או צו קיום לפי הוראות סעיף קטן (א),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הרשם לעניני ירושה ברבים וליורשים על פי דין או לנהנים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הצוואה 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 w:rsidRPr="008906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73 לחוק העיקרי יבוא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 עד 75ד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 (א) הממונה הארצי יקבע את נוהלי עבודתם של הרשמים לעניני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הסמכויות הנתונות לממונה הארצי לפי חוק זה נתונות גם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למשנה לממונה הארצי, הממונה הארצי רשאי לתת למשנה לממונה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הנחיות לענין הפעלת סמכויותיו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-סמכויות הממונה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ומשנהו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73ב (א) במילוי תפקידו לפי חוק זה אין על רשם לעניני ירושה מרות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מרותו של הדין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רשם לעניני ירושה לא ישמש כבא-כוחו של היועץ המשפטי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בענין שבו טיפל בכל הליך משפטי לפי חוק זה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-תלות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73ג לרשם לעניני ירושה יהיו הסמכויות הנתונות לועדת חקירה לפי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9 עד וו לחוק ועדות חקירה, התשכ"ט-1968 4, ככל שהדבר דרוש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תפקידו לפי חוק זה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חקירה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73ד הממונה הארצי ינהל מרשם ארצי של צווי ירושה וצווי קיום, של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לצווי ירושה ולצווי קיום ושל צוואות שהופקדו לפי סעיף 21; פרטי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המרשם ודרכי ניהולו ייקבעו בתקנות 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ארצי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 w:rsidRPr="008906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74 לחוק העיקרי בכל מקום, אחרי "בית המשפט" יבוא "או הרשם לעניני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EC2FA2" w:rsidRPr="008906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75 לחוק העיקרי -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יבוא מסירת צוואה לרשם לעניני ירושה";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"לבית משפט" יבוא "לרשם לעניני ירושה'',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המילים "אלף לירות" - יימחקו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  <w:tr w:rsidR="00EC2FA2" w:rsidRPr="008906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76 לחוק העיקרי יבוא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76</w:t>
                        </w:r>
                      </w:p>
                    </w:tc>
                  </w:tr>
                  <w:tr w:rsidR="00EC2FA2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 הופקדו צוואה או זכרון דברים על צוואה שבעל פה אצל רשם לעניני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 או נמסרה לו צוואה לפי סעיף 75, ולא הוגשה בקשה לקיום הצוואה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חודשים לאחר מות המצווה או לאחר מסירת הצוואה כאמור,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 יותר, ימסור הרשם לעניני ירושה הורעה על כך לזכאים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הצוואה ויודיע על כך ברבים, פרטי ההודעה ברבים ייקבעו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2FA2" w:rsidRPr="008906DA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78 לחוק העיקרי יסומן (א) ובסופו יבוא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1ה הבקשה בהסכמת כל הצדדים הנוגעים בדבר, תוגש הבקשה לרשם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ושה, הוגשה בקשה כאמור, רשאי הרשם לעניני ירושה למנות בצו מנהל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זיו לו, לענין המינוי, הסמכויות הנתונות לבית המשפט לפי סעיף 89 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האמור בו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היי</w:t>
                        </w:r>
                      </w:p>
                      <w:p w:rsidR="00EC2FA2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יר</w:t>
                        </w:r>
                      </w:p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עזבון, ויד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2FA2" w:rsidRPr="008906DA" w:rsidRDefault="00EC2F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</w:tbl>
                <w:p w:rsidR="00EC2FA2" w:rsidRDefault="00EC2F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21AE8" w:rsidRDefault="00921AE8">
      <w:pPr>
        <w:rPr>
          <w:rtl/>
        </w:rPr>
      </w:pPr>
      <w:r>
        <w:rPr>
          <w:rtl/>
        </w:rPr>
        <w:br w:type="page"/>
      </w:r>
    </w:p>
    <w:p w:rsidR="00921AE8" w:rsidRDefault="00000000">
      <w:pPr>
        <w:rPr>
          <w:rtl/>
        </w:rPr>
      </w:pPr>
      <w:r>
        <w:pict>
          <v:shape id="_x0000_s48617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8617" inset="0,0,0,0">
              <w:txbxContent>
                <w:p w:rsidR="00EC2FA2" w:rsidRDefault="00EC2FA2">
                  <w:r>
                    <w:rPr>
                      <w:rtl/>
                    </w:rPr>
                    <w:t>243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8" o:spid="_x0000_s1038" type="#_x0000_t202" style="position:absolute;left:0;text-align:left;margin-left:343.3pt;margin-top:692.45pt;width:216.2pt;height:58.4pt;z-index:14;mso-position-horizontal-relative:page;mso-position-vertical-relative:page" stroked="f">
            <v:textbox style="mso-next-textbox:#_x0000_s48618" inset="0,0,0,0">
              <w:txbxContent>
                <w:p w:rsidR="00EC2FA2" w:rsidRPr="00921AE8" w:rsidRDefault="00EC2FA2">
                  <w:pPr>
                    <w:pStyle w:val="OCRStyle4"/>
                    <w:ind w:left="302"/>
                  </w:pPr>
                  <w:r>
                    <w:rPr>
                      <w:rtl/>
                    </w:rPr>
                    <w:t>5 ס''ח התשנ'ה, עמ' 393.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9" o:spid="_x0000_s1039" type="#_x0000_t202" style="position:absolute;left:0;text-align:left;margin-left:86.65pt;margin-top:57.05pt;width:466.9pt;height:633.6pt;z-index:13;mso-position-horizontal-relative:page;mso-position-vertical-relative:page" stroked="f">
            <v:textbox style="mso-next-textbox:#_x0000_s486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4"/>
                    <w:gridCol w:w="5624"/>
                    <w:gridCol w:w="1362"/>
                  </w:tblGrid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80 לחוק העיקרי, אחרי 'לבית המשפט- יבוא "או לרשם לעניני ירושה, לפי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הענין".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ו8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81 לחוק העיקרי, במקום "ימנה בית המשפט למנהל עזבון אותו אדם" יבוא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"ימנה בית המשפט או הרשם לעניני ירושה, לפי הענין, אותו אדם כמנהל עזבון", ובמקום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"שבית המשפט משוכנע, מטעמים שיירשמו", יבוא "שבית המשפט או הרשם לעניני ירושה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משוכנע, מטעמים מיוחדים שיירשמו".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ו8א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ו8 לחוק העיקרי יבוא: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81א. נתמנה מנהל עזבון לפי סעיף 78(ב) או לפי סעיף 81, יימשכו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לפי פרק זה בבית המשפט."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"הליכים בבית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ו9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91 לחוק העיקרי, במקום "כפי שיראה למתאים" יבוא "לפי כללים שקבע שר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בתקנות".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93 לחוק העיקרי, כרישה, אחרי "מינה בית המשפט" יבוא "או הרשם לעניני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ירושה*.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151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151 לחוק העיקרי יבוא: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בית המשפט המוסמך לפי חוק זה הוא בית המשפט לעניני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51 וא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151 לחוק העיקרי יבוא: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51וא. הרואה עצמו נפגע מהחלטת רשם לעניני ירושה רשאי לערער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בית המשפט המוסמך לפי סעיף 151, שידון בערעור בשופט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רשם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ירושה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155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155(א) לחוק העיקרי -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"על אף האמור בסעיף 151" יבוא "על אף האמור בסעיפים 66(א) ו-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151";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נתן בית הרין צו ירושה או צו קיום צוואה לפי סעיף זה, יועבר העתק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לרשם לעניני ירושה לשם רישום לפי סעיף 73ד."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האמור בסעיף 160 לחוק העיקרי יסומן (א), ובסופו יבוא: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סדרי הדין;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מועדים שבסדרי דין, לרבות מועדים לענין בקשה שהוגשה לבית דין דתי;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אגרות, שבר והוצאות.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פסקאות (6) ו-(7) של סעיף קטן (א) טעונות אישור ועדת החוקה חוק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הכנסת."</w:t>
                        </w:r>
                      </w:p>
                    </w:tc>
                  </w:tr>
                  <w:tr w:rsidR="00EC2FA2" w:rsidRPr="00921AE8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משפחה -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114" w:type="pct"/>
                        <w:gridSpan w:val="2"/>
                      </w:tcPr>
                      <w:p w:rsidR="00EC2FA2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בית המשפט לעניני משפחה, התשנ"ה-51995 -</w:t>
                        </w:r>
                      </w:p>
                      <w:p w:rsidR="00EC2FA2" w:rsidRPr="00921AE8" w:rsidRDefault="00EC2F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1 -</w:t>
                        </w:r>
                      </w:p>
                    </w:tc>
                  </w:tr>
                </w:tbl>
                <w:p w:rsidR="00EC2FA2" w:rsidRDefault="00EC2FA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C2FA2" w:rsidRDefault="00EC2FA2">
      <w:pPr>
        <w:rPr>
          <w:rtl/>
        </w:rPr>
      </w:pPr>
      <w:r>
        <w:rPr>
          <w:rtl/>
        </w:rPr>
        <w:br w:type="page"/>
      </w:r>
    </w:p>
    <w:p w:rsidR="00EC2FA2" w:rsidRDefault="00000000">
      <w:pPr>
        <w:rPr>
          <w:rtl/>
        </w:rPr>
      </w:pPr>
      <w:r>
        <w:pict>
          <v:shape id="_x0000_s48620" o:spid="_x0000_s1040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8620" inset="0,0,0,0">
              <w:txbxContent>
                <w:p w:rsidR="00EC2FA2" w:rsidRDefault="00EC2FA2">
                  <w:r>
                    <w:rPr>
                      <w:rtl/>
                    </w:rPr>
                    <w:t>244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1" o:spid="_x0000_s1041" type="#_x0000_t202" style="position:absolute;left:0;text-align:left;margin-left:372.05pt;margin-top:457.95pt;width:105.95pt;height:30.9pt;z-index:21;mso-position-horizontal-relative:page;mso-position-vertical-relative:page" stroked="f">
            <v:textbox style="mso-next-textbox:#_x0000_s48621" inset="0,0,0,0">
              <w:txbxContent>
                <w:p w:rsidR="00EC2FA2" w:rsidRPr="00EC2FA2" w:rsidRDefault="00EC2FA2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6 ס-ח התשל"ח,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2" o:spid="_x0000_s1042" type="#_x0000_t202" style="position:absolute;left:0;text-align:left;margin-left:118pt;margin-top:374.35pt;width:77.6pt;height:30.9pt;z-index:20;mso-position-horizontal-relative:page;mso-position-vertical-relative:page" stroked="f">
            <v:textbox style="mso-next-textbox:#_x0000_s48622" inset="0,0,0,0">
              <w:txbxContent>
                <w:p w:rsidR="00EC2FA2" w:rsidRDefault="00EC2FA2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EC2FA2" w:rsidRDefault="00EC2FA2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3" o:spid="_x0000_s1043" type="#_x0000_t202" style="position:absolute;left:0;text-align:left;margin-left:204.15pt;margin-top:398.55pt;width:96.45pt;height:34.45pt;z-index:19;mso-position-horizontal-relative:page;mso-position-vertical-relative:page" stroked="f">
            <v:textbox style="mso-next-textbox:#_x0000_s48623" inset="0,0,0,0">
              <w:txbxContent>
                <w:p w:rsidR="00EC2FA2" w:rsidRDefault="00EC2FA2">
                  <w:pPr>
                    <w:pStyle w:val="OCRStyle5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C2FA2" w:rsidRDefault="00EC2FA2">
                  <w:pPr>
                    <w:pStyle w:val="OCRStyle5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4" o:spid="_x0000_s1044" type="#_x0000_t202" style="position:absolute;left:0;text-align:left;margin-left:301.35pt;margin-top:376.95pt;width:84.35pt;height:30.9pt;z-index:18;mso-position-horizontal-relative:page;mso-position-vertical-relative:page" stroked="f">
            <v:textbox style="mso-next-textbox:#_x0000_s48624" inset="0,0,0,0">
              <w:txbxContent>
                <w:p w:rsidR="00EC2FA2" w:rsidRDefault="00EC2FA2">
                  <w:pPr>
                    <w:pStyle w:val="OCRStyle5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C2FA2" w:rsidRDefault="00EC2FA2">
                  <w:pPr>
                    <w:pStyle w:val="OCRStyle5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5" o:spid="_x0000_s1045" type="#_x0000_t202" style="position:absolute;left:0;text-align:left;margin-left:394.4pt;margin-top:400.1pt;width:67.9pt;height:31.1pt;z-index:17;mso-position-horizontal-relative:page;mso-position-vertical-relative:page" stroked="f">
            <v:textbox style="mso-next-textbox:#_x0000_s48625" inset="0,0,0,0">
              <w:txbxContent>
                <w:p w:rsidR="00EC2FA2" w:rsidRDefault="00EC2FA2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C2FA2" w:rsidRDefault="00EC2FA2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6" o:spid="_x0000_s1046" type="#_x0000_t202" style="position:absolute;left:0;text-align:left;margin-left:81.95pt;margin-top:67.05pt;width:473.4pt;height:302.95pt;z-index:16;mso-position-horizontal-relative:page;mso-position-vertical-relative:page" stroked="f">
            <v:textbox style="mso-next-textbox:#_x0000_s486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393"/>
                  </w:tblGrid>
                  <w:tr w:rsidR="00EC2FA2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'תובענה אזרחית שהגיש אדם נגד בן משפחתו, או נגד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עזבונות של בן משפחתו'' יבוא ''תובענה אזרחית בין אדם או עזבונו לבין בן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משפחתו, או עזבונו'';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(6)(ה), בסופה יבוא "לרבות תובענה שעילתה סכסוך בקשר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לירושה, יהיו הצדדים אשר יהיו;'';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25(ב), בסופו יבוא "בענין הנתון לסמכותו המקבילה של בית דין דתי,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בית המשפט לעניני משפחה מוסמך לדון כל עוד אין בית הדין הדתי דן בו.'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27(א), במקום "ה' בניסן התשנ"ח (ו באפריל 1998)'' יבוא -י' באלול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התשנ''ח (ו בספטמבר 1998)''.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C2FA2" w:rsidRPr="00EC2FA2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הצהרות מוות, התשל"ח-978 ו6, בסעיף 2, במקום ''בית משפט מחוזי'' יבוא ''בית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לעניני משפחה''.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 מוות -</w:t>
                        </w:r>
                      </w:p>
                      <w:p w:rsidR="00EC2FA2" w:rsidRP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EC2FA2" w:rsidRPr="00EC2FA2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צוואות שהופקדו בבית משפט או שנמסרו לו לפי סעיפים 21, 23 או 75 לחוק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כנוסחו ערב תחילתו של חוק זה יועברו להפקדה אצל הרשם לעניני ירושה כפי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המשפטים.</w:t>
                        </w:r>
                      </w:p>
                      <w:p w:rsid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לצו ירושה או לצו קיום שהוגשה לפני תחילתו של חוק זה תידון בבית</w:t>
                        </w:r>
                      </w:p>
                      <w:p w:rsidR="00EC2FA2" w:rsidRP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שאליו הוגשה.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2FA2" w:rsidRP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EC2FA2" w:rsidRPr="00EC2FA2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C2FA2" w:rsidRP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תחילתו של חוק זה, למעט סעיף 26, ביום י' באלול התשנ''ח (1 בספטמבר 1998).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2FA2" w:rsidRPr="00EC2FA2" w:rsidRDefault="00EC2F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C2FA2" w:rsidRDefault="00EC2FA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06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39D4A0-444D-4C01-B36E-75B90DD9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064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61DA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906D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21AE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C2F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2008-04-07T10:47:00Z</dcterms:created>
  <dcterms:modified xsi:type="dcterms:W3CDTF">2008-04-07T10:47:00Z</dcterms:modified>
</cp:coreProperties>
</file>