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190B" w:rsidRDefault="0075190B">
      <w:pPr>
        <w:rPr>
          <w:rtl/>
        </w:rPr>
      </w:pPr>
    </w:p>
    <w:p w:rsidR="007519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69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690" inset="0,0,0,0">
              <w:txbxContent>
                <w:p w:rsidR="0075190B" w:rsidRDefault="0075190B">
                  <w:r>
                    <w:rPr>
                      <w:rtl/>
                    </w:rPr>
                    <w:t>253                                         ספר החוקים 1672                  י"ג בתמוז התשנ"ח 07.07.1998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91" o:spid="_x0000_s1026" type="#_x0000_t202" style="position:absolute;left:0;text-align:left;margin-left:151.6pt;margin-top:629.3pt;width:388.3pt;height:116.25pt;z-index:7;mso-position-horizontal-relative:page;mso-position-vertical-relative:page" stroked="f">
            <v:textbox style="mso-next-textbox:#_x0000_s48691" inset="0,0,0,0">
              <w:txbxContent>
                <w:p w:rsidR="0075190B" w:rsidRDefault="0075190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בתמוז התשנ"ח (29 ביוני 1998); הצעת החוק ודברי הסבר פורסמו בהצעת חוק</w:t>
                  </w:r>
                </w:p>
                <w:p w:rsidR="0075190B" w:rsidRDefault="0075190B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2480, מיום כ''ד בטבת התשנ"ו (16 בינואר 1998 ), עמ' 423.</w:t>
                  </w:r>
                </w:p>
                <w:p w:rsidR="0075190B" w:rsidRPr="0075190B" w:rsidRDefault="0075190B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י דיני מדינת ישראל, נוסח חדש 7, עמ' 173; ס"ח התשנ"ח, עמ' .54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92" o:spid="_x0000_s1027" type="#_x0000_t202" style="position:absolute;left:0;text-align:left;margin-left:178.35pt;margin-top:536.4pt;width:77.4pt;height:36.25pt;z-index:6;mso-position-horizontal-relative:page;mso-position-vertical-relative:page" stroked="f">
            <v:textbox style="mso-next-textbox:#_x0000_s48692" inset="0,0,0,0">
              <w:txbxContent>
                <w:p w:rsidR="0075190B" w:rsidRDefault="0075190B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שאול יהלום</w:t>
                  </w:r>
                </w:p>
                <w:p w:rsidR="0075190B" w:rsidRDefault="0075190B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93" o:spid="_x0000_s1028" type="#_x0000_t202" style="position:absolute;left:0;text-align:left;margin-left:275.55pt;margin-top:562.15pt;width:84.35pt;height:41.4pt;z-index:5;mso-position-horizontal-relative:page;mso-position-vertical-relative:page" stroked="f">
            <v:textbox style="mso-next-textbox:#_x0000_s48693" inset="0,0,0,0">
              <w:txbxContent>
                <w:p w:rsidR="0075190B" w:rsidRDefault="0075190B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5190B" w:rsidRDefault="0075190B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94" o:spid="_x0000_s1029" type="#_x0000_t202" style="position:absolute;left:0;text-align:left;margin-left:362.5pt;margin-top:539pt;width:85.15pt;height:29.3pt;z-index:4;mso-position-horizontal-relative:page;mso-position-vertical-relative:page" stroked="f">
            <v:textbox style="mso-next-textbox:#_x0000_s48694" inset="0,0,0,0">
              <w:txbxContent>
                <w:p w:rsidR="0075190B" w:rsidRDefault="0075190B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5190B" w:rsidRDefault="0075190B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95" o:spid="_x0000_s1030" type="#_x0000_t202" style="position:absolute;left:0;text-align:left;margin-left:455.55pt;margin-top:566.5pt;width:71.3pt;height:31.1pt;z-index:3;mso-position-horizontal-relative:page;mso-position-vertical-relative:page" stroked="f">
            <v:textbox style="mso-next-textbox:#_x0000_s48695" inset="0,0,0,0">
              <w:txbxContent>
                <w:p w:rsidR="0075190B" w:rsidRDefault="0075190B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5190B" w:rsidRDefault="0075190B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96" o:spid="_x0000_s1031" type="#_x0000_t202" style="position:absolute;left:0;text-align:left;margin-left:81.9pt;margin-top:399.6pt;width:454.4pt;height:131.65pt;z-index:2;mso-position-horizontal-relative:page;mso-position-vertical-relative:page" stroked="f">
            <v:textbox style="mso-next-textbox:#_x0000_s4869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948"/>
                  </w:tblGrid>
                  <w:tr w:rsidR="0075190B" w:rsidRPr="0075190B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75190B" w:rsidRPr="0075190B" w:rsidRDefault="00751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64ב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75190B" w:rsidRDefault="00751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התעבורה 1, בסעיף 64ב -</w:t>
                        </w:r>
                      </w:p>
                      <w:p w:rsidR="0075190B" w:rsidRDefault="00751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קטן (ב) יבוא:</w:t>
                        </w:r>
                      </w:p>
                      <w:p w:rsidR="0075190B" w:rsidRDefault="00751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"(בו) נפטר אדם עקב תאונת דרכים, והיה לשוטר חשד סביר כי הוא היה</w:t>
                        </w:r>
                      </w:p>
                      <w:p w:rsidR="0075190B" w:rsidRDefault="00751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שיכור, רשאי רופא, שאליו הובא הנפטר, ליטול ממנו דגימת דם לקביעת אחוז</w:t>
                        </w:r>
                      </w:p>
                      <w:p w:rsidR="0075190B" w:rsidRDefault="00751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האלכוהול או הסם שבדמו, אם ביקש זאת השוטר; בסעיף קטן זה, "שוטר" - כפי</w:t>
                        </w:r>
                      </w:p>
                      <w:p w:rsidR="0075190B" w:rsidRDefault="00751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התחבורה.";</w:t>
                        </w:r>
                      </w:p>
                      <w:p w:rsidR="0075190B" w:rsidRDefault="00751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בפסקה (2), במקום "בנבדק" יבוא "בהתאם להוראות</w:t>
                        </w:r>
                      </w:p>
                      <w:p w:rsidR="0075190B" w:rsidRPr="0075190B" w:rsidRDefault="007519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(ב) או (ב1).</w:t>
                        </w:r>
                      </w:p>
                    </w:tc>
                  </w:tr>
                </w:tbl>
                <w:p w:rsidR="0075190B" w:rsidRDefault="007519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697" o:spid="_x0000_s1032" type="#_x0000_t202" style="position:absolute;left:0;text-align:left;margin-left:192pt;margin-top:370.3pt;width:300.35pt;height:25.75pt;z-index:1;mso-position-horizontal-relative:page;mso-position-vertical-relative:page" stroked="f">
            <v:textbox style="mso-next-textbox:#_x0000_s48697" inset="0,0,0,0">
              <w:txbxContent>
                <w:p w:rsidR="0075190B" w:rsidRPr="0075190B" w:rsidRDefault="0075190B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46),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19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C97904-885B-411A-BDF0-6DA3FED3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190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2008-04-07T10:48:00Z</dcterms:created>
  <dcterms:modified xsi:type="dcterms:W3CDTF">2008-04-07T10:48:00Z</dcterms:modified>
</cp:coreProperties>
</file>