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12ADC" w:rsidRDefault="00012ADC">
      <w:pPr>
        <w:rPr>
          <w:rtl/>
        </w:rPr>
      </w:pPr>
    </w:p>
    <w:p w:rsidR="00012AD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91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8917" inset="0,0,0,0">
              <w:txbxContent>
                <w:p w:rsidR="00012ADC" w:rsidRDefault="00012ADC">
                  <w:r>
                    <w:rPr>
                      <w:rtl/>
                    </w:rPr>
                    <w:t>306                                         ספר החוקים 1680                     י' באב התשנ"ח 02.08.1998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18" o:spid="_x0000_s1026" type="#_x0000_t202" style="position:absolute;left:0;text-align:left;margin-left:93.15pt;margin-top:714.1pt;width:223.75pt;height:38.8pt;z-index:8;mso-position-horizontal-relative:page;mso-position-vertical-relative:page" stroked="f">
            <v:textbox style="mso-next-textbox:#_x0000_s48918" inset="0,0,0,0">
              <w:txbxContent>
                <w:p w:rsidR="00012ADC" w:rsidRDefault="00012AD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919" o:spid="_x0000_s1027" type="#_x0000_t202" style="position:absolute;left:0;text-align:left;margin-left:91.4pt;margin-top:300.85pt;width:391.65pt;height:54.25pt;z-index:7;mso-position-horizontal-relative:page;mso-position-vertical-relative:page" stroked="f">
            <v:textbox style="mso-next-textbox:#_x0000_s48919" inset="0,0,0,0">
              <w:txbxContent>
                <w:p w:rsidR="00012ADC" w:rsidRDefault="00012ADC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ה- באב התשנ"ח (28 ביולי 1998); הצעת החוק ודברי ההסבר פורסמו בהצעות חוק</w:t>
                  </w:r>
                </w:p>
                <w:p w:rsidR="00012ADC" w:rsidRDefault="00012ADC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2717, מיום ח' בסיון התשנ"ח (2 ביוני 1998), עמ' 364.</w:t>
                  </w:r>
                </w:p>
                <w:p w:rsidR="00012ADC" w:rsidRPr="00012ADC" w:rsidRDefault="00012ADC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ס"ח התשנייו. עמ' 168, התשנ"ח, עמ' .160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20" o:spid="_x0000_s1028" type="#_x0000_t202" style="position:absolute;left:0;text-align:left;margin-left:109.4pt;margin-top:206.2pt;width:99pt;height:35.25pt;z-index:6;mso-position-horizontal-relative:page;mso-position-vertical-relative:page" stroked="f">
            <v:textbox style="mso-next-textbox:#_x0000_s48920" inset="0,0,0,0">
              <w:txbxContent>
                <w:p w:rsidR="00012ADC" w:rsidRDefault="00012ADC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אביגדור קהלני</w:t>
                  </w:r>
                </w:p>
                <w:p w:rsidR="00012ADC" w:rsidRDefault="00012ADC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השר לבטחון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21" o:spid="_x0000_s1029" type="#_x0000_t202" style="position:absolute;left:0;text-align:left;margin-left:216.35pt;margin-top:238.1pt;width:85.95pt;height:32.65pt;z-index:5;mso-position-horizontal-relative:page;mso-position-vertical-relative:page" stroked="f">
            <v:textbox style="mso-next-textbox:#_x0000_s48921" inset="0,0,0,0">
              <w:txbxContent>
                <w:p w:rsidR="00012ADC" w:rsidRDefault="00012ADC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רן תיכון</w:t>
                  </w:r>
                </w:p>
                <w:p w:rsidR="00012ADC" w:rsidRDefault="00012ADC">
                  <w:pPr>
                    <w:pStyle w:val="OCRStyle1"/>
                    <w:ind w:left="7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22" o:spid="_x0000_s1030" type="#_x0000_t202" style="position:absolute;left:0;text-align:left;margin-left:302.25pt;margin-top:207.8pt;width:83.55pt;height:31.9pt;z-index:4;mso-position-horizontal-relative:page;mso-position-vertical-relative:page" stroked="f">
            <v:textbox style="mso-next-textbox:#_x0000_s48922" inset="0,0,0,0">
              <w:txbxContent>
                <w:p w:rsidR="00012ADC" w:rsidRDefault="00012ADC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012ADC" w:rsidRDefault="00012ADC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23" o:spid="_x0000_s1031" type="#_x0000_t202" style="position:absolute;left:0;text-align:left;margin-left:396.1pt;margin-top:237.1pt;width:72.25pt;height:32.65pt;z-index:3;mso-position-horizontal-relative:page;mso-position-vertical-relative:page" stroked="f">
            <v:textbox style="mso-next-textbox:#_x0000_s48923" inset="0,0,0,0">
              <w:txbxContent>
                <w:p w:rsidR="00012ADC" w:rsidRDefault="00012ADC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012ADC" w:rsidRDefault="00012ADC">
                  <w:pPr>
                    <w:pStyle w:val="OCRStyle1"/>
                    <w:ind w:left="162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924" o:spid="_x0000_s1032" type="#_x0000_t202" style="position:absolute;left:0;text-align:left;margin-left:93.15pt;margin-top:113.95pt;width:468.25pt;height:74.05pt;z-index:2;mso-position-horizontal-relative:page;mso-position-vertical-relative:page" stroked="f">
            <v:textbox style="mso-next-textbox:#_x0000_s4892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9"/>
                    <w:gridCol w:w="1345"/>
                  </w:tblGrid>
                  <w:tr w:rsidR="00012ADC" w:rsidRPr="00012ADC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012ADC" w:rsidRDefault="00012AD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שהייה שלא כדין (איסור סיוע) (הוראות שעה), התשנ"ו-1996 1 (להלן - החוק</w:t>
                        </w:r>
                      </w:p>
                      <w:p w:rsidR="00012ADC" w:rsidRPr="00012ADC" w:rsidRDefault="00012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בסעיף ו. ברישה, במקום ''שנתיים ושלושה חודשים- יבוא ''ארבע שנים".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012ADC" w:rsidRPr="00012ADC" w:rsidRDefault="00012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  <w:tr w:rsidR="00012ADC" w:rsidRPr="00012ADC">
                    <w:trPr>
                      <w:jc w:val="right"/>
                    </w:trPr>
                    <w:tc>
                      <w:tcPr>
                        <w:tcW w:w="4210" w:type="pct"/>
                      </w:tcPr>
                      <w:p w:rsidR="00012ADC" w:rsidRDefault="00012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לא יועמד אדם לדין בשל עבירה שנעברה לפי אחד החוקים המפורטים בחוק העיקרי,</w:t>
                        </w:r>
                      </w:p>
                      <w:p w:rsidR="00012ADC" w:rsidRPr="00012ADC" w:rsidRDefault="00012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בתקופה שמיום כ' בסיון התשנ"ח (14 ביוני 1998) עד יום פרסומו של חוק זה.</w:t>
                        </w:r>
                      </w:p>
                    </w:tc>
                    <w:tc>
                      <w:tcPr>
                        <w:tcW w:w="790" w:type="pct"/>
                      </w:tcPr>
                      <w:p w:rsidR="00012ADC" w:rsidRPr="00012ADC" w:rsidRDefault="00012AD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012ADC" w:rsidRDefault="00012AD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925" o:spid="_x0000_s1033" type="#_x0000_t202" style="position:absolute;left:0;text-align:left;margin-left:121.5pt;margin-top:69.2pt;width:346.9pt;height:40.6pt;z-index:1;mso-position-horizontal-relative:page;mso-position-vertical-relative:page" stroked="f">
            <v:textbox style="mso-next-textbox:#_x0000_s48925" inset="0,0,0,0">
              <w:txbxContent>
                <w:p w:rsidR="00012ADC" w:rsidRDefault="00012ADC">
                  <w:pPr>
                    <w:pStyle w:val="OCRStyle1"/>
                    <w:ind w:left="34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שהייה שלא כדין (איסור סיוע) (הוראות שעה) (תיקון מס' 3),</w:t>
                  </w:r>
                </w:p>
                <w:p w:rsidR="00012ADC" w:rsidRPr="00012ADC" w:rsidRDefault="00012ADC">
                  <w:pPr>
                    <w:pStyle w:val="OCRStyle1"/>
                    <w:ind w:left="254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התשנ"ח-1998*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12AD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2AD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6479638-3D80-48FF-8BE4-F153EEA2F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12AD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2008-04-07T10:51:00Z</dcterms:created>
  <dcterms:modified xsi:type="dcterms:W3CDTF">2008-04-07T10:51:00Z</dcterms:modified>
</cp:coreProperties>
</file>