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7BC7" w:rsidRDefault="001A7BC7">
      <w:pPr>
        <w:rPr>
          <w:rtl/>
        </w:rPr>
      </w:pPr>
    </w:p>
    <w:p w:rsidR="001A7B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9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934" inset="0,0,0,0">
              <w:txbxContent>
                <w:p w:rsidR="003E0BC8" w:rsidRDefault="003E0BC8">
                  <w:r>
                    <w:rPr>
                      <w:rtl/>
                    </w:rPr>
                    <w:t>308                                         ספר החוקים 1681                    י"א באב התשנ"ח 03.08.1998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35" o:spid="_x0000_s1026" type="#_x0000_t202" style="position:absolute;left:0;text-align:left;margin-left:81.9pt;margin-top:656.9pt;width:405.5pt;height:98pt;z-index:3;mso-position-horizontal-relative:page;mso-position-vertical-relative:page" stroked="f">
            <v:textbox style="mso-next-textbox:#_x0000_s48935" inset="0,0,0,0">
              <w:txbxContent>
                <w:p w:rsidR="003E0BC8" w:rsidRDefault="003E0BC8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ה' באב התשנ'ח (28 ביולי 1998); הצעת החוק ודברי ההסבר פורסמו בהצעות חוק</w:t>
                  </w:r>
                </w:p>
                <w:p w:rsidR="003E0BC8" w:rsidRDefault="003E0BC8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2732, מיום י'ט בתמוז התשנ-ח (13 ביולי 1998), עמ' 442.</w:t>
                  </w:r>
                </w:p>
                <w:p w:rsidR="003E0BC8" w:rsidRPr="001A7BC7" w:rsidRDefault="003E0BC8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1 ס-ח התשנ"ב, עמ' 246; התשנ"ז, עמ' .218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36" o:spid="_x0000_s1027" type="#_x0000_t202" style="position:absolute;left:0;text-align:left;margin-left:94pt;margin-top:478.7pt;width:461.35pt;height:165.15pt;z-index:2;mso-position-horizontal-relative:page;mso-position-vertical-relative:page" stroked="f">
            <v:textbox style="mso-next-textbox:#_x0000_s4893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9"/>
                    <w:gridCol w:w="1256"/>
                  </w:tblGrid>
                  <w:tr w:rsidR="003E0BC8" w:rsidRPr="001A7BC7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E0BC8" w:rsidRDefault="003E0BC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הלוואות לדיור, התשנ"ב-1992 1 (להלן - החוק העיקרי), בסעיף 1, במקום</w:t>
                        </w:r>
                      </w:p>
                      <w:p w:rsidR="003E0BC8" w:rsidRDefault="003E0B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ההגדרה "זכאי" יבוא:</w:t>
                        </w:r>
                      </w:p>
                      <w:p w:rsidR="003E0BC8" w:rsidRPr="001A7BC7" w:rsidRDefault="003E0B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""זכאי" - מי שהוא מחוסר דיור והוא זכאי לסיוע בדיור לפי הכללים;''.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E0BC8" w:rsidRPr="001A7BC7" w:rsidRDefault="003E0B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3E0BC8" w:rsidRPr="001A7BC7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E0BC8" w:rsidRDefault="003E0B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2(א) לחוק העיקרי, במקום "70,000" יבוא "48,000" ובמקום "160,000- יבוא</w:t>
                        </w:r>
                      </w:p>
                      <w:p w:rsidR="003E0BC8" w:rsidRPr="001A7BC7" w:rsidRDefault="003E0B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"237,000".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E0BC8" w:rsidRPr="001A7BC7" w:rsidRDefault="003E0B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3E0BC8" w:rsidRPr="001A7BC7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E0BC8" w:rsidRDefault="003E0B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לחוק העיקרי, במקום "בשיעור של עד 4% לשנה" יבוא "בשיעורים כמפורט</w:t>
                        </w:r>
                      </w:p>
                      <w:p w:rsidR="003E0BC8" w:rsidRPr="001A7BC7" w:rsidRDefault="003E0B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E0BC8" w:rsidRPr="001A7BC7" w:rsidRDefault="003E0B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3E0BC8" w:rsidRPr="001A7BC7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E0BC8" w:rsidRDefault="003E0B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 לחוק העיקרי, במקום הסיפה החל במילים "בשיעור של" יבוא "בשיעור</w:t>
                        </w:r>
                      </w:p>
                      <w:p w:rsidR="003E0BC8" w:rsidRPr="001A7BC7" w:rsidRDefault="003E0B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מן המדד הידוע במועד מתן ההלוואה-.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E0BC8" w:rsidRPr="001A7BC7" w:rsidRDefault="003E0B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3E0BC8" w:rsidRDefault="003E0B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937" o:spid="_x0000_s1028" type="#_x0000_t202" style="position:absolute;left:0;text-align:left;margin-left:90.4pt;margin-top:381.3pt;width:391.85pt;height:93.85pt;z-index:1;mso-position-horizontal-relative:page;mso-position-vertical-relative:page" stroked="f">
            <v:textbox style="mso-next-textbox:#_x0000_s48937" inset="0,0,0,0">
              <w:txbxContent>
                <w:p w:rsidR="003E0BC8" w:rsidRDefault="003E0BC8">
                  <w:pPr>
                    <w:pStyle w:val="OCRStyle1"/>
                    <w:ind w:left="367"/>
                    <w:rPr>
                      <w:rtl/>
                    </w:rPr>
                  </w:pPr>
                </w:p>
                <w:p w:rsidR="003E0BC8" w:rsidRDefault="003E0BC8">
                  <w:pPr>
                    <w:pStyle w:val="OCRStyle1"/>
                    <w:ind w:left="367"/>
                    <w:rPr>
                      <w:rtl/>
                    </w:rPr>
                  </w:pPr>
                </w:p>
                <w:p w:rsidR="003E0BC8" w:rsidRDefault="003E0BC8">
                  <w:pPr>
                    <w:pStyle w:val="OCRStyle1"/>
                    <w:ind w:left="176"/>
                    <w:rPr>
                      <w:rtl/>
                    </w:rPr>
                  </w:pPr>
                </w:p>
                <w:p w:rsidR="003E0BC8" w:rsidRPr="001A7BC7" w:rsidRDefault="003E0BC8">
                  <w:pPr>
                    <w:pStyle w:val="OCRStyle1"/>
                    <w:ind w:left="125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הלוואות לדיור (תיקון מס' 3), התשנ"ח-1998*</w:t>
                  </w:r>
                </w:p>
              </w:txbxContent>
            </v:textbox>
            <w10:wrap anchorx="page" anchory="page"/>
          </v:shape>
        </w:pict>
      </w:r>
    </w:p>
    <w:p w:rsidR="000B5752" w:rsidRDefault="000B5752">
      <w:pPr>
        <w:rPr>
          <w:rtl/>
        </w:rPr>
      </w:pPr>
      <w:r>
        <w:rPr>
          <w:rtl/>
        </w:rPr>
        <w:br w:type="page"/>
      </w:r>
    </w:p>
    <w:p w:rsidR="000B5752" w:rsidRDefault="00000000">
      <w:pPr>
        <w:rPr>
          <w:rtl/>
        </w:rPr>
      </w:pPr>
      <w:r>
        <w:pict>
          <v:shape id="_x0000_s4893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938" inset="0,0,0,0">
              <w:txbxContent>
                <w:p w:rsidR="003E0BC8" w:rsidRDefault="003E0BC8">
                  <w:r>
                    <w:rPr>
                      <w:rtl/>
                    </w:rPr>
                    <w:t>309                                         ספר החוקים 1681                    י"א באב התשנ"ח 03.08.1998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39" o:spid="_x0000_s1030" type="#_x0000_t202" style="position:absolute;left:0;text-align:left;margin-left:316.5pt;margin-top:646.6pt;width:228.1pt;height:100.8pt;z-index:6;mso-position-horizontal-relative:page;mso-position-vertical-relative:page" stroked="f">
            <v:textbox style="mso-next-textbox:#_x0000_s48939" inset="0,0,0,0">
              <w:txbxContent>
                <w:p w:rsidR="003E0BC8" w:rsidRPr="000B5752" w:rsidRDefault="003E0BC8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2 ק"ת התשנ"ג, עמ' 719.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40" o:spid="_x0000_s1031" type="#_x0000_t202" style="position:absolute;left:0;text-align:left;margin-left:71.95pt;margin-top:59.55pt;width:479.55pt;height:580.35pt;z-index:5;mso-position-horizontal-relative:page;mso-position-vertical-relative:page" stroked="f">
            <v:textbox style="mso-next-textbox:#_x0000_s4894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6"/>
                    <w:gridCol w:w="4665"/>
                    <w:gridCol w:w="1012"/>
                    <w:gridCol w:w="1617"/>
                  </w:tblGrid>
                  <w:tr w:rsidR="003E0BC8">
                    <w:trPr>
                      <w:jc w:val="right"/>
                    </w:trPr>
                    <w:tc>
                      <w:tcPr>
                        <w:tcW w:w="818" w:type="pct"/>
                        <w:vMerge w:val="restart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3E0BC8" w:rsidRPr="000B5752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 ו-7ב</w:t>
                        </w:r>
                      </w:p>
                    </w:tc>
                    <w:tc>
                      <w:tcPr>
                        <w:tcW w:w="4182" w:type="pct"/>
                        <w:gridSpan w:val="3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7 לחוק העיקרי יבוא: ,</w:t>
                        </w:r>
                      </w:p>
                    </w:tc>
                  </w:tr>
                  <w:tr w:rsidR="003E0BC8" w:rsidRPr="000B5752">
                    <w:trPr>
                      <w:jc w:val="right"/>
                    </w:trPr>
                    <w:tc>
                      <w:tcPr>
                        <w:tcW w:w="818" w:type="pct"/>
                        <w:vMerge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5" w:type="pct"/>
                        <w:gridSpan w:val="2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השר, באישור הועדה, רשאי לשנות את התוספת.</w:t>
                        </w:r>
                      </w:p>
                    </w:tc>
                    <w:tc>
                      <w:tcPr>
                        <w:tcW w:w="927" w:type="pct"/>
                      </w:tcPr>
                      <w:p w:rsidR="003E0BC8" w:rsidRPr="000B5752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-שינוי התוספת</w:t>
                        </w:r>
                      </w:p>
                    </w:tc>
                  </w:tr>
                  <w:tr w:rsidR="003E0BC8" w:rsidRPr="000B5752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5" w:type="pct"/>
                        <w:gridSpan w:val="2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7ב. למונחים שבתוספת תהיה המשמעות הקבועה להם בכללים."</w:t>
                        </w:r>
                      </w:p>
                    </w:tc>
                    <w:tc>
                      <w:tcPr>
                        <w:tcW w:w="927" w:type="pct"/>
                      </w:tcPr>
                      <w:p w:rsidR="003E0BC8" w:rsidRPr="000B5752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 התוספת</w:t>
                        </w:r>
                      </w:p>
                    </w:tc>
                  </w:tr>
                  <w:tr w:rsidR="003E0BC8" w:rsidRPr="000B5752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E0BC8" w:rsidRPr="000B5752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התוספת</w:t>
                        </w:r>
                      </w:p>
                    </w:tc>
                    <w:tc>
                      <w:tcPr>
                        <w:tcW w:w="4182" w:type="pct"/>
                        <w:gridSpan w:val="3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התוספת לחוק העיקרי2, יבוא: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</w:t>
                        </w:r>
                      </w:p>
                      <w:p w:rsidR="003E0BC8" w:rsidRPr="000B5752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4)</w:t>
                        </w:r>
                      </w:p>
                    </w:tc>
                  </w:tr>
                  <w:tr w:rsidR="003E0BC8" w:rsidRPr="000B5752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75" w:type="pct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הריבית לשנה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הממוצעת של הבנקים למשכנתאות, בפי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שמפרסם בנק ישראל, אך לא יותר מהריבית הנהוגה</w:t>
                        </w:r>
                      </w:p>
                      <w:p w:rsidR="003E0BC8" w:rsidRPr="000B5752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בבנק שנתן את ההלוואה</w:t>
                        </w:r>
                      </w:p>
                    </w:tc>
                    <w:tc>
                      <w:tcPr>
                        <w:tcW w:w="1507" w:type="pct"/>
                        <w:gridSpan w:val="2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סך הנקודות</w:t>
                        </w:r>
                      </w:p>
                      <w:p w:rsidR="003E0BC8" w:rsidRPr="000B5752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עד 599</w:t>
                        </w:r>
                      </w:p>
                    </w:tc>
                  </w:tr>
                  <w:tr w:rsidR="003E0BC8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75" w:type="pct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5.5%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4%"</w:t>
                        </w:r>
                      </w:p>
                    </w:tc>
                    <w:tc>
                      <w:tcPr>
                        <w:tcW w:w="1507" w:type="pct"/>
                        <w:gridSpan w:val="2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מ-600 עד 999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מ-1000</w:t>
                        </w:r>
                      </w:p>
                    </w:tc>
                  </w:tr>
                  <w:tr w:rsidR="003E0BC8" w:rsidRPr="000B5752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E0BC8" w:rsidRPr="000B5752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82" w:type="pct"/>
                        <w:gridSpan w:val="3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חוק זה ביום י"א באב התשנ''ח (3 באוגוסט 998 0 (להלן - יום התחילה),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מימוש ההלוואה לדיור לפי החוק העיקרי כנוסחו בחוק זה, יהיה ביום כ''ד באב</w:t>
                        </w:r>
                      </w:p>
                      <w:p w:rsidR="003E0BC8" w:rsidRPr="000B5752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התשנ"ח (16 באוגוסט 0998 ואילך.</w:t>
                        </w:r>
                      </w:p>
                    </w:tc>
                  </w:tr>
                  <w:tr w:rsidR="003E0BC8" w:rsidRPr="000B5752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והוראות</w:t>
                        </w:r>
                      </w:p>
                      <w:p w:rsidR="003E0BC8" w:rsidRPr="000B5752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182" w:type="pct"/>
                        <w:gridSpan w:val="3"/>
                      </w:tcPr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על אף הוראות חוק זה -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מחוסר דיור אשר חתם על חוזה לרכישת דירה או לבניית דירה או על חוזה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לרכישת זכות בדירה (להלן - חוזה) לפני יום התחילה, יחולו הוראות החוק העיקרי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בנוסחו ערב יום התחילה (להלן - הדין הקודם), והוא יהיה זכאי להלוואה לדיור לפי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הכללים ובתנאים כפי שהיו בתוקף ערב יום התחילה; ואולם מחוסר דיור יהיה זכאי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להלוואה לדיור לפי הוראות החוק העיקרי, כנוסחו בחוק זה, אם נתקיים אחד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סך הנקודות העומדות לזכותו על פי הכללים הוא 2200 ומעלה, חתם על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ביום ז' בסיון התשנ"ח (ו ביוני 0998 ואילך ולא מימש את זכותו עד ליום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התחילה;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מימש את זכותו לקבלת הלוואה לדיור בתקופה של 60 ימים לפני יום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התחילה;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מחוסר דיור אשר חתם על חוזה בתקופה שמיום התחילה ועד ליום י''ב בטבת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התשנ"ט (31 בדצמבר 998 0 (להלן - תקופת המעבר), וביקש לקבל הלוואה לדיור לפי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הדין הקודם ולא לפי הוראות החוק העיקרי כנוסחו בחוק זה, זכאי להלוואה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לדיור לפי הכללים ובתנאים שהיו בתוקף ערב יום התחילה, ובלבד שיממש את מלוא</w:t>
                        </w:r>
                      </w:p>
                      <w:p w:rsidR="003E0BC8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הלוואתו בתוך תקופת המעבר או בתוך תקופה נוספת שקבע השר בצו; בפסקה</w:t>
                        </w:r>
                      </w:p>
                      <w:p w:rsidR="003E0BC8" w:rsidRPr="000B5752" w:rsidRDefault="003E0B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זו, "השר'' - כהגדרתו בסעיף ו לחוק העיקרי.</w:t>
                        </w:r>
                      </w:p>
                    </w:tc>
                  </w:tr>
                </w:tbl>
                <w:p w:rsidR="003E0BC8" w:rsidRDefault="003E0B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E0BC8" w:rsidRDefault="003E0BC8">
      <w:pPr>
        <w:rPr>
          <w:rtl/>
        </w:rPr>
      </w:pPr>
      <w:r>
        <w:rPr>
          <w:rtl/>
        </w:rPr>
        <w:br w:type="page"/>
      </w:r>
    </w:p>
    <w:p w:rsidR="003E0BC8" w:rsidRDefault="00000000">
      <w:pPr>
        <w:rPr>
          <w:rtl/>
        </w:rPr>
      </w:pPr>
      <w:r>
        <w:pict>
          <v:shape id="_x0000_s4894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941" inset="0,0,0,0">
              <w:txbxContent>
                <w:p w:rsidR="003E0BC8" w:rsidRDefault="003E0BC8">
                  <w:r>
                    <w:rPr>
                      <w:rtl/>
                    </w:rPr>
                    <w:t>310                                         ספר החוקים 1681                    י"א באב התשנ"ח 03.08.1998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42" o:spid="_x0000_s1033" type="#_x0000_t202" style="position:absolute;left:0;text-align:left;margin-left:118.55pt;margin-top:93.4pt;width:93.85pt;height:37.05pt;z-index:12;mso-position-horizontal-relative:page;mso-position-vertical-relative:page" stroked="f">
            <v:textbox style="mso-next-textbox:#_x0000_s48942" inset="0,0,0,0">
              <w:txbxContent>
                <w:p w:rsidR="003E0BC8" w:rsidRDefault="003E0BC8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3E0BC8" w:rsidRDefault="003E0BC8">
                  <w:pPr>
                    <w:pStyle w:val="OCRStyle3"/>
                    <w:ind w:left="133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43" o:spid="_x0000_s1034" type="#_x0000_t202" style="position:absolute;left:0;text-align:left;margin-left:223.7pt;margin-top:127.85pt;width:83.35pt;height:31.9pt;z-index:11;mso-position-horizontal-relative:page;mso-position-vertical-relative:page" stroked="f">
            <v:textbox style="mso-next-textbox:#_x0000_s48943" inset="0,0,0,0">
              <w:txbxContent>
                <w:p w:rsidR="003E0BC8" w:rsidRDefault="003E0BC8">
                  <w:pPr>
                    <w:pStyle w:val="OCRStyle3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3E0BC8" w:rsidRDefault="003E0BC8">
                  <w:pPr>
                    <w:pStyle w:val="OCRStyle3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44" o:spid="_x0000_s1035" type="#_x0000_t202" style="position:absolute;left:0;text-align:left;margin-left:311.4pt;margin-top:96.8pt;width:77.4pt;height:31.9pt;z-index:10;mso-position-horizontal-relative:page;mso-position-vertical-relative:page" stroked="f">
            <v:textbox style="mso-next-textbox:#_x0000_s48944" inset="0,0,0,0">
              <w:txbxContent>
                <w:p w:rsidR="003E0BC8" w:rsidRDefault="003E0BC8">
                  <w:pPr>
                    <w:pStyle w:val="OCRStyle3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3E0BC8" w:rsidRDefault="003E0BC8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45" o:spid="_x0000_s1036" type="#_x0000_t202" style="position:absolute;left:0;text-align:left;margin-left:402.7pt;margin-top:126.1pt;width:75.85pt;height:34.45pt;z-index:9;mso-position-horizontal-relative:page;mso-position-vertical-relative:page" stroked="f">
            <v:textbox style="mso-next-textbox:#_x0000_s48945" inset="0,0,0,0">
              <w:txbxContent>
                <w:p w:rsidR="003E0BC8" w:rsidRDefault="003E0BC8">
                  <w:pPr>
                    <w:pStyle w:val="OCRStyle3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E0BC8" w:rsidRDefault="003E0BC8">
                  <w:pPr>
                    <w:pStyle w:val="OCRStyle3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46" o:spid="_x0000_s1037" type="#_x0000_t202" style="position:absolute;left:0;text-align:left;margin-left:265.85pt;margin-top:58.15pt;width:298.6pt;height:32.65pt;z-index:8;mso-position-horizontal-relative:page;mso-position-vertical-relative:page" stroked="f">
            <v:textbox style="mso-next-textbox:#_x0000_s48946" inset="0,0,0,0">
              <w:txbxContent>
                <w:tbl>
                  <w:tblPr>
                    <w:tblW w:w="43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036"/>
                    <w:gridCol w:w="1393"/>
                  </w:tblGrid>
                  <w:tr w:rsidR="003E0BC8" w:rsidRPr="003E0BC8">
                    <w:trPr>
                      <w:jc w:val="right"/>
                    </w:trPr>
                    <w:tc>
                      <w:tcPr>
                        <w:tcW w:w="3717" w:type="pct"/>
                      </w:tcPr>
                      <w:p w:rsidR="003E0BC8" w:rsidRDefault="003E0B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צו לפי סעיף 8(2) יותקן עד ליום התחילה.</w:t>
                        </w:r>
                      </w:p>
                    </w:tc>
                    <w:tc>
                      <w:tcPr>
                        <w:tcW w:w="1283" w:type="pct"/>
                      </w:tcPr>
                      <w:p w:rsidR="003E0BC8" w:rsidRPr="003E0BC8" w:rsidRDefault="003E0B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התקנה</w:t>
                        </w:r>
                      </w:p>
                    </w:tc>
                  </w:tr>
                </w:tbl>
                <w:p w:rsidR="003E0BC8" w:rsidRDefault="003E0BC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A7B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8CEB16-20FE-4F61-B258-740BB1B01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A7BC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B575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E0BC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2008-04-07T10:51:00Z</dcterms:created>
  <dcterms:modified xsi:type="dcterms:W3CDTF">2008-04-07T10:51:00Z</dcterms:modified>
</cp:coreProperties>
</file>