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55F5" w:rsidRDefault="007055F5">
      <w:pPr>
        <w:rPr>
          <w:rtl/>
        </w:rPr>
      </w:pPr>
    </w:p>
    <w:p w:rsidR="007055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963" inset="0,0,0,0">
              <w:txbxContent>
                <w:p w:rsidR="000538BA" w:rsidRDefault="000538BA">
                  <w:r>
                    <w:rPr>
                      <w:rtl/>
                    </w:rPr>
                    <w:t>312                                         ספר החוקים 1682                    י"ב באב התשנ"ח 04.08.1998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4" o:spid="_x0000_s1026" type="#_x0000_t202" style="position:absolute;left:0;text-align:left;margin-left:82pt;margin-top:656.15pt;width:402.95pt;height:103.35pt;z-index:3;mso-position-horizontal-relative:page;mso-position-vertical-relative:page" stroked="f">
            <v:textbox style="mso-next-textbox:#_x0000_s48964" inset="0,0,0,0">
              <w:txbxContent>
                <w:p w:rsidR="000538BA" w:rsidRDefault="000538BA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 באב התשנ"ח (28 ביולי 1998), הצעת החוק ודברי ההסבר פורסמו בהצעות חוק</w:t>
                  </w:r>
                </w:p>
                <w:p w:rsidR="000538BA" w:rsidRDefault="000538BA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2679, מיום כ''ב בטבת התשנ"ח (20 בינואר 1998), עמ' 193</w:t>
                  </w:r>
                </w:p>
                <w:p w:rsidR="000538BA" w:rsidRDefault="000538BA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ס"ח התשכ"ה עמ' 248, התשנ"ח, עמ' 248 ועמ' 270.</w:t>
                  </w:r>
                </w:p>
                <w:p w:rsidR="000538BA" w:rsidRPr="007055F5" w:rsidRDefault="000538B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2 ס"ח התשכ"ט,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5" o:spid="_x0000_s1027" type="#_x0000_t202" style="position:absolute;left:0;text-align:left;margin-left:90.5pt;margin-top:477.15pt;width:460.55pt;height:172.05pt;z-index:2;mso-position-horizontal-relative:page;mso-position-vertical-relative:page" stroked="f">
            <v:textbox style="mso-next-textbox:#_x0000_s489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7"/>
                    <w:gridCol w:w="1437"/>
                    <w:gridCol w:w="1271"/>
                  </w:tblGrid>
                  <w:tr w:rsidR="000538BA" w:rsidRPr="007055F5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(בחירות), התשכ"ה-1965, אחרי סעיף 39 יבוא:</w:t>
                        </w:r>
                      </w:p>
                    </w:tc>
                    <w:tc>
                      <w:tcPr>
                        <w:tcW w:w="759" w:type="pct"/>
                        <w:vMerge w:val="restar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538BA" w:rsidRPr="007055F5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 עד 39ר</w:t>
                        </w:r>
                      </w:p>
                    </w:tc>
                  </w:tr>
                  <w:tr w:rsidR="000538BA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רשימת מועמדים לא תשתתף בבחירות לרשויות המקומיות לפי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אם יש במטרותיה או במעשיה, במפורש או במשתמע, אחד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שלילת קיומה של מדינת ישראל כמדינתו של העם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היהודי;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שלילת האופי הדמוקרטי של המדינה,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הסתה לגזענות.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השתתפות</w:t>
                        </w:r>
                      </w:p>
                      <w:p w:rsidR="000538BA" w:rsidRPr="007055F5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מועמדים</w:t>
                        </w:r>
                      </w:p>
                    </w:tc>
                    <w:tc>
                      <w:tcPr>
                        <w:tcW w:w="759" w:type="pct"/>
                        <w:vMerge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538BA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39ב. (א) יושב ראש ועדת הבחירות המרכזית, לפי חוק הבחירות</w:t>
                        </w:r>
                      </w:p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ולראש הממשלה [נוסח משולב], התשכ"ט-1969, רשאי,</w:t>
                        </w:r>
                      </w:p>
                    </w:tc>
                    <w:tc>
                      <w:tcPr>
                        <w:tcW w:w="858" w:type="pc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בדבר</w:t>
                        </w:r>
                      </w:p>
                      <w:p w:rsidR="000538BA" w:rsidRPr="007055F5" w:rsidRDefault="0005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מנועה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538BA" w:rsidRDefault="000538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38BA" w:rsidRDefault="000538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66" o:spid="_x0000_s1028" type="#_x0000_t202" style="position:absolute;left:0;text-align:left;margin-left:96.65pt;margin-top:383.3pt;width:378pt;height:91.3pt;z-index:1;mso-position-horizontal-relative:page;mso-position-vertical-relative:page" stroked="f">
            <v:textbox style="mso-next-textbox:#_x0000_s48966" inset="0,0,0,0">
              <w:txbxContent>
                <w:p w:rsidR="000538BA" w:rsidRDefault="000538BA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0538BA" w:rsidRDefault="000538BA">
                  <w:pPr>
                    <w:pStyle w:val="OCRStyle1"/>
                    <w:ind w:left="277"/>
                    <w:rPr>
                      <w:rtl/>
                    </w:rPr>
                  </w:pPr>
                </w:p>
                <w:p w:rsidR="000538BA" w:rsidRDefault="000538BA">
                  <w:pPr>
                    <w:pStyle w:val="OCRStyle1"/>
                    <w:ind w:left="299"/>
                    <w:rPr>
                      <w:rtl/>
                    </w:rPr>
                  </w:pPr>
                </w:p>
                <w:p w:rsidR="000538BA" w:rsidRPr="007055F5" w:rsidRDefault="000538BA">
                  <w:pPr>
                    <w:pStyle w:val="OCRStyle1"/>
                    <w:ind w:left="4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(תיקון מס' 28), התשנ"ח-1998*</w:t>
                  </w:r>
                </w:p>
              </w:txbxContent>
            </v:textbox>
            <w10:wrap anchorx="page" anchory="page"/>
          </v:shape>
        </w:pict>
      </w:r>
    </w:p>
    <w:p w:rsidR="000538BA" w:rsidRDefault="000538BA">
      <w:pPr>
        <w:rPr>
          <w:rtl/>
        </w:rPr>
      </w:pPr>
      <w:r>
        <w:rPr>
          <w:rtl/>
        </w:rPr>
        <w:br w:type="page"/>
      </w:r>
    </w:p>
    <w:p w:rsidR="000538BA" w:rsidRDefault="00000000">
      <w:pPr>
        <w:rPr>
          <w:rtl/>
        </w:rPr>
      </w:pPr>
      <w:r>
        <w:pict>
          <v:shape id="_x0000_s4896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967" inset="0,0,0,0">
              <w:txbxContent>
                <w:p w:rsidR="000538BA" w:rsidRDefault="000538BA">
                  <w:r>
                    <w:rPr>
                      <w:rtl/>
                    </w:rPr>
                    <w:t>313                                         ספר החוקים 1682                    י"ב באב התשנ"ח 04.08.1998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8" o:spid="_x0000_s1030" type="#_x0000_t202" style="position:absolute;left:0;text-align:left;margin-left:179.8pt;margin-top:495.6pt;width:81.75pt;height:33.45pt;z-index:9;mso-position-horizontal-relative:page;mso-position-vertical-relative:page" stroked="f">
            <v:textbox style="mso-next-textbox:#_x0000_s48968" inset="0,0,0,0">
              <w:txbxContent>
                <w:p w:rsidR="000538BA" w:rsidRDefault="000538BA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0538BA" w:rsidRDefault="000538BA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9" o:spid="_x0000_s1031" type="#_x0000_t202" style="position:absolute;left:0;text-align:left;margin-left:278.05pt;margin-top:523.1pt;width:83.35pt;height:38.6pt;z-index:8;mso-position-horizontal-relative:page;mso-position-vertical-relative:page" stroked="f">
            <v:textbox style="mso-next-textbox:#_x0000_s48969" inset="0,0,0,0">
              <w:txbxContent>
                <w:p w:rsidR="000538BA" w:rsidRDefault="000538BA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538BA" w:rsidRDefault="000538BA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0" o:spid="_x0000_s1032" type="#_x0000_t202" style="position:absolute;left:0;text-align:left;margin-left:364.95pt;margin-top:493pt;width:80.8pt;height:35.25pt;z-index:7;mso-position-horizontal-relative:page;mso-position-vertical-relative:page" stroked="f">
            <v:textbox style="mso-next-textbox:#_x0000_s48970" inset="0,0,0,0">
              <w:txbxContent>
                <w:p w:rsidR="000538BA" w:rsidRDefault="000538BA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538BA" w:rsidRDefault="000538BA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1" o:spid="_x0000_s1033" type="#_x0000_t202" style="position:absolute;left:0;text-align:left;margin-left:450.1pt;margin-top:523.1pt;width:75.85pt;height:34.45pt;z-index:6;mso-position-horizontal-relative:page;mso-position-vertical-relative:page" stroked="f">
            <v:textbox style="mso-next-textbox:#_x0000_s48971" inset="0,0,0,0">
              <w:txbxContent>
                <w:p w:rsidR="000538BA" w:rsidRDefault="000538BA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538BA" w:rsidRDefault="000538BA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2" o:spid="_x0000_s1034" type="#_x0000_t202" style="position:absolute;left:0;text-align:left;margin-left:138.45pt;margin-top:60pt;width:420.15pt;height:427.7pt;z-index:5;mso-position-horizontal-relative:page;mso-position-vertical-relative:page" stroked="f">
            <v:textbox style="mso-next-textbox:#_x0000_s4897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2"/>
                    <w:gridCol w:w="1577"/>
                  </w:tblGrid>
                  <w:tr w:rsidR="000538BA">
                    <w:trPr>
                      <w:jc w:val="right"/>
                    </w:trPr>
                    <w:tc>
                      <w:tcPr>
                        <w:tcW w:w="3968" w:type="pct"/>
                      </w:tcPr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סגניו לקבוע כי רשימת מועמדים שהוגשה לפי חוק זה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רשימה המנועה מלהשתתף בבחירות לפי סעיף 39א (להלן - רשימה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מנועה)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לפי סעיף קטן (א) תיעשה על פי עתירה של ועדת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 הרשות המקומית הנוגעת בדבר. שעל הגשתה החליטה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ברוב חבריה או של היועץ המשפטי לממשלה העתירה תוגש לא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העשרים וחמישה שלפני יום הבחירות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תינתן החלטה בעתירה אלא לאחר שניתנה לבא-כוח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שלגביה הוגשה העתירה הזדמנות להשמיע את טענותיו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דחלטה בעתירה לפי סעיף זה, תינתן לא יאוחר מהיום התשעה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שלפני יום הבחירות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(ו) בא-כוח רשימה מנועה או היועץ המשפטי לממשלה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לערער לפני בית המשפט העליון על החלטה של יושב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הבחירות המרכזית לכנסת, לפי סעיף זה, ובלבד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על כך רשות מאת נשיא בית המשפט העליון,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הערעור יוגש לא יאוחר משלושה ימים מיום מתן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בערעור תינתן לא יאוחר מהיום השמיני שלפני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 והיא תהיה סופית</w:t>
                        </w:r>
                      </w:p>
                    </w:tc>
                    <w:tc>
                      <w:tcPr>
                        <w:tcW w:w="1032" w:type="pct"/>
                      </w:tcPr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538BA" w:rsidRPr="000538BA">
                    <w:trPr>
                      <w:jc w:val="right"/>
                    </w:trPr>
                    <w:tc>
                      <w:tcPr>
                        <w:tcW w:w="3968" w:type="pct"/>
                      </w:tcPr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39ג (א) יושב ראש ועדת הבחירות המרכזית רשאי לקבוע הוראות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בעתירה לקביעת רשימת מועמדים כרשימה מנועה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דמשפטים רשאי לקבוע סדרי דין לערעורים לפי סעיף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39ב(ה)</w:t>
                        </w:r>
                      </w:p>
                    </w:tc>
                    <w:tc>
                      <w:tcPr>
                        <w:tcW w:w="1032" w:type="pct"/>
                      </w:tcPr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סדרי</w:t>
                        </w:r>
                      </w:p>
                      <w:p w:rsidR="000538BA" w:rsidRP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</w:t>
                        </w:r>
                      </w:p>
                    </w:tc>
                  </w:tr>
                  <w:tr w:rsidR="000538BA" w:rsidRPr="000538BA">
                    <w:trPr>
                      <w:jc w:val="right"/>
                    </w:trPr>
                    <w:tc>
                      <w:tcPr>
                        <w:tcW w:w="3968" w:type="pct"/>
                      </w:tcPr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39ד הליך למניעת השתתפות של רשימת מועמדים בבחירות לרשויות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מהטעמים המנויים בסעיף 39א, יהיה רק לפי הוראות סעיפים</w:t>
                        </w:r>
                      </w:p>
                      <w:p w:rsid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 ו-39ג</w:t>
                        </w:r>
                      </w:p>
                    </w:tc>
                    <w:tc>
                      <w:tcPr>
                        <w:tcW w:w="1032" w:type="pct"/>
                      </w:tcPr>
                      <w:p w:rsidR="000538BA" w:rsidRPr="000538BA" w:rsidRDefault="0005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הסמכות</w:t>
                        </w:r>
                      </w:p>
                    </w:tc>
                  </w:tr>
                </w:tbl>
                <w:p w:rsidR="000538BA" w:rsidRDefault="000538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55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54ECFB-4420-4689-B152-E1F84A39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55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538B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2008-04-07T10:51:00Z</dcterms:created>
  <dcterms:modified xsi:type="dcterms:W3CDTF">2008-04-07T10:52:00Z</dcterms:modified>
</cp:coreProperties>
</file>