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B1DF3" w:rsidRDefault="002B1DF3">
      <w:pPr>
        <w:rPr>
          <w:rtl/>
        </w:rPr>
      </w:pPr>
    </w:p>
    <w:p w:rsidR="002B1DF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9046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9046" inset="0,0,0,0">
              <w:txbxContent>
                <w:p w:rsidR="002B1DF3" w:rsidRDefault="002B1DF3">
                  <w:r>
                    <w:rPr>
                      <w:rtl/>
                    </w:rPr>
                    <w:t>268                                         ספר החוקים 1675                  כ"ח בתמוז התשנ"ח 22.07.1998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047" o:spid="_x0000_s1026" type="#_x0000_t202" style="position:absolute;left:0;text-align:left;margin-left:92.8pt;margin-top:221.6pt;width:385.7pt;height:80pt;z-index:7;mso-position-horizontal-relative:page;mso-position-vertical-relative:page" stroked="f">
            <v:textbox style="mso-next-textbox:#_x0000_s49047" inset="0,0,0,0">
              <w:txbxContent>
                <w:p w:rsidR="002B1DF3" w:rsidRDefault="002B1DF3">
                  <w:pPr>
                    <w:pStyle w:val="OCRStyle1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 בתמוז דתשנ"ח (14 ביולי  1998);הצעת החוק ודברי הסבר פורסמו בהצעות חוק</w:t>
                  </w:r>
                </w:p>
                <w:p w:rsidR="002B1DF3" w:rsidRDefault="002B1DF3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2727 מיום ו' בתמוז התשנ"ח (30 ביוני  1998),עמ' 423</w:t>
                  </w:r>
                </w:p>
                <w:p w:rsidR="002B1DF3" w:rsidRPr="002B1DF3" w:rsidRDefault="002B1DF3">
                  <w:pPr>
                    <w:pStyle w:val="OCRStyle1"/>
                    <w:ind w:left="306"/>
                  </w:pPr>
                  <w:r>
                    <w:rPr>
                      <w:rtl/>
                    </w:rPr>
                    <w:t>ס"ח התשל"ו עמ' 52; התשנ"ח, עמ' 185</w:t>
                  </w:r>
                </w:p>
              </w:txbxContent>
            </v:textbox>
            <w10:wrap anchorx="page" anchory="page"/>
          </v:shape>
        </w:pict>
      </w:r>
      <w:r>
        <w:pict>
          <v:shape id="_x0000_s49048" o:spid="_x0000_s1027" type="#_x0000_t202" style="position:absolute;left:0;text-align:left;margin-left:137.75pt;margin-top:154.25pt;width:69.7pt;height:31.9pt;z-index:6;mso-position-horizontal-relative:page;mso-position-vertical-relative:page" stroked="f">
            <v:textbox style="mso-next-textbox:#_x0000_s49048" inset="0,0,0,0">
              <w:txbxContent>
                <w:p w:rsidR="002B1DF3" w:rsidRDefault="002B1DF3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יעקב נאמן</w:t>
                  </w:r>
                </w:p>
                <w:p w:rsidR="002B1DF3" w:rsidRDefault="002B1DF3">
                  <w:pPr>
                    <w:pStyle w:val="OCRStyle1"/>
                    <w:ind w:left="22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9049" o:spid="_x0000_s1028" type="#_x0000_t202" style="position:absolute;left:0;text-align:left;margin-left:243.5pt;margin-top:183.75pt;width:77.6pt;height:31.7pt;z-index:5;mso-position-horizontal-relative:page;mso-position-vertical-relative:page" stroked="f">
            <v:textbox style="mso-next-textbox:#_x0000_s49049" inset="0,0,0,0">
              <w:txbxContent>
                <w:p w:rsidR="002B1DF3" w:rsidRDefault="002B1DF3">
                  <w:pPr>
                    <w:pStyle w:val="OCRStyle1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2B1DF3" w:rsidRDefault="002B1DF3">
                  <w:pPr>
                    <w:pStyle w:val="OCRStyle1"/>
                    <w:ind w:left="7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9050" o:spid="_x0000_s1029" type="#_x0000_t202" style="position:absolute;left:0;text-align:left;margin-left:406.25pt;margin-top:183.55pt;width:67.1pt;height:33.65pt;z-index:4;mso-position-horizontal-relative:page;mso-position-vertical-relative:page" stroked="f">
            <v:textbox style="mso-next-textbox:#_x0000_s49050" inset="0,0,0,0">
              <w:txbxContent>
                <w:p w:rsidR="002B1DF3" w:rsidRDefault="002B1DF3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2B1DF3" w:rsidRDefault="002B1DF3">
                  <w:pPr>
                    <w:pStyle w:val="OCRStyle1"/>
                    <w:ind w:left="17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051" o:spid="_x0000_s1030" type="#_x0000_t202" style="position:absolute;left:0;text-align:left;margin-left:320.1pt;margin-top:153.45pt;width:79.2pt;height:30.1pt;z-index:3;mso-position-horizontal-relative:page;mso-position-vertical-relative:page" stroked="f">
            <v:textbox style="mso-next-textbox:#_x0000_s49051" inset="0,0,0,0">
              <w:txbxContent>
                <w:p w:rsidR="002B1DF3" w:rsidRDefault="002B1DF3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2B1DF3" w:rsidRDefault="002B1DF3">
                  <w:pPr>
                    <w:pStyle w:val="OCRStyle1"/>
                    <w:ind w:left="20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052" o:spid="_x0000_s1031" type="#_x0000_t202" style="position:absolute;left:0;text-align:left;margin-left:92.8pt;margin-top:88.95pt;width:459.75pt;height:59.4pt;z-index:2;mso-position-horizontal-relative:page;mso-position-vertical-relative:page" stroked="f">
            <v:textbox style="mso-next-textbox:#_x0000_s49052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73"/>
                    <w:gridCol w:w="1286"/>
                  </w:tblGrid>
                  <w:tr w:rsidR="002B1DF3" w:rsidRPr="002B1DF3">
                    <w:trPr>
                      <w:jc w:val="right"/>
                    </w:trPr>
                    <w:tc>
                      <w:tcPr>
                        <w:tcW w:w="4231" w:type="pct"/>
                      </w:tcPr>
                      <w:p w:rsidR="002B1DF3" w:rsidRDefault="002B1DF3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מס ערך מוסף, התשל"ו-1975 בסעיף 30(א), בסופו יבוא</w:t>
                        </w:r>
                      </w:p>
                      <w:p w:rsidR="002B1DF3" w:rsidRDefault="002B1D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''(7 0 מתן זכות שימוש לתושב חוץ בשטחי תערוכה, ושירותים נלווים הניתנים על</w:t>
                        </w:r>
                      </w:p>
                      <w:p w:rsidR="002B1DF3" w:rsidRPr="002B1DF3" w:rsidRDefault="002B1D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נותן זכות השימוש כאמור אגב התערוכה ''</w:t>
                        </w:r>
                      </w:p>
                    </w:tc>
                    <w:tc>
                      <w:tcPr>
                        <w:tcW w:w="769" w:type="pct"/>
                      </w:tcPr>
                      <w:p w:rsidR="002B1DF3" w:rsidRPr="002B1DF3" w:rsidRDefault="002B1D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30</w:t>
                        </w:r>
                      </w:p>
                    </w:tc>
                  </w:tr>
                </w:tbl>
                <w:p w:rsidR="002B1DF3" w:rsidRDefault="002B1DF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053" o:spid="_x0000_s1032" type="#_x0000_t202" style="position:absolute;left:0;text-align:left;margin-left:151.4pt;margin-top:64pt;width:279.75pt;height:21.6pt;z-index:1;mso-position-horizontal-relative:page;mso-position-vertical-relative:page" stroked="f">
            <v:textbox style="mso-next-textbox:#_x0000_s49053" inset="0,0,0,0">
              <w:txbxContent>
                <w:p w:rsidR="002B1DF3" w:rsidRPr="002B1DF3" w:rsidRDefault="002B1DF3">
                  <w:pPr>
                    <w:pStyle w:val="OCRStyle1"/>
                    <w:ind w:left="26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מס ערך מוסף (תיקון מס' 19), התשנ"ח-1998*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B1DF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B1DF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1BADE7D-5815-46F6-958F-29560AFCB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B1DF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2008-04-07T10:49:00Z</dcterms:created>
  <dcterms:modified xsi:type="dcterms:W3CDTF">2008-04-07T10:49:00Z</dcterms:modified>
</cp:coreProperties>
</file>