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94EFD" w:rsidRDefault="00894EFD">
      <w:pPr>
        <w:rPr>
          <w:rtl/>
        </w:rPr>
      </w:pPr>
    </w:p>
    <w:p w:rsidR="00894EF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06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9064" inset="0,0,0,0">
              <w:txbxContent>
                <w:p w:rsidR="00494FEA" w:rsidRDefault="00494FEA">
                  <w:r>
                    <w:rPr>
                      <w:rtl/>
                    </w:rPr>
                    <w:t>328                                         ספר החוקים 1684                    י"ד באב התשנ"ח 06.08.1998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65" o:spid="_x0000_s1026" type="#_x0000_t202" style="position:absolute;left:0;text-align:left;margin-left:83.25pt;margin-top:654.65pt;width:399.35pt;height:81.75pt;z-index:3;mso-position-horizontal-relative:page;mso-position-vertical-relative:page" stroked="f">
            <v:textbox style="mso-next-textbox:#_x0000_s49065" inset="0,0,0,0">
              <w:txbxContent>
                <w:p w:rsidR="00494FEA" w:rsidRDefault="00494FEA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באב התשנ"ח (28 ביולי 1998); הצעת החוק ודברי ההסבר פורסמו בהצעות חוק</w:t>
                  </w:r>
                </w:p>
                <w:p w:rsidR="00494FEA" w:rsidRDefault="00494FEA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2726, מיום ה' בתמוז התשנ-ח (29 ביוני 1998), עמ' 418.</w:t>
                  </w:r>
                </w:p>
                <w:p w:rsidR="00494FEA" w:rsidRPr="00894EFD" w:rsidRDefault="00494FEA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1 ס"ח התשמ"ו, עמ' 187; התשנ"ו, עמ' .69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66" o:spid="_x0000_s1027" type="#_x0000_t202" style="position:absolute;left:0;text-align:left;margin-left:85.8pt;margin-top:241.4pt;width:467.5pt;height:408.1pt;z-index:2;mso-position-horizontal-relative:page;mso-position-vertical-relative:page" stroked="f">
            <v:textbox style="mso-next-textbox:#_x0000_s4906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00"/>
                    <w:gridCol w:w="1108"/>
                    <w:gridCol w:w="1392"/>
                  </w:tblGrid>
                  <w:tr w:rsidR="00494FEA" w:rsidRPr="00894EFD">
                    <w:trPr>
                      <w:jc w:val="right"/>
                    </w:trPr>
                    <w:tc>
                      <w:tcPr>
                        <w:tcW w:w="4181" w:type="pct"/>
                        <w:gridSpan w:val="2"/>
                      </w:tcPr>
                      <w:p w:rsidR="00494FEA" w:rsidRDefault="00494FE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כרטיסי חיוב, התשמ"ו-1986 1 (להלן - החוק העיקרי), בסעיף 1 -</w:t>
                        </w:r>
                      </w:p>
                      <w:p w:rsidR="00494FEA" w:rsidRDefault="00494F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בהגדרה "כרטיס חיוב", במקום -כרטיס בנק- יבוא -כרטיס בנק, כרטיס</w:t>
                        </w:r>
                      </w:p>
                      <w:p w:rsidR="00494FEA" w:rsidRDefault="00494F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תשלום-:</w:t>
                        </w:r>
                      </w:p>
                      <w:p w:rsidR="00494FEA" w:rsidRDefault="00494F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ההגדרה "כרטיס חיוב" יבוא:</w:t>
                        </w:r>
                      </w:p>
                      <w:p w:rsidR="00494FEA" w:rsidRDefault="00494F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""כרטיס תשלום" - לוחית או חפץ אחר לשימוש חוזר, המיועדים לרכישת</w:t>
                        </w:r>
                      </w:p>
                      <w:p w:rsidR="00494FEA" w:rsidRDefault="00494F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 מאת הספק. שניתן לצבור בהם ערך כספי בדרך של טעינה חוזרת,</w:t>
                        </w:r>
                      </w:p>
                      <w:p w:rsidR="00494FEA" w:rsidRDefault="00494F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לוחית או חפץ כאמור הניתנים לטעינה בכסף מזומן בלבד כאשר לא</w:t>
                        </w:r>
                      </w:p>
                      <w:p w:rsidR="00494FEA" w:rsidRPr="00894EFD" w:rsidRDefault="00494F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באמצעותם לחייב את חשבון הלקוח;'.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494FEA" w:rsidRPr="00894EFD" w:rsidRDefault="00494F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494FEA" w:rsidRPr="00894EFD">
                    <w:trPr>
                      <w:jc w:val="right"/>
                    </w:trPr>
                    <w:tc>
                      <w:tcPr>
                        <w:tcW w:w="4181" w:type="pct"/>
                        <w:gridSpan w:val="2"/>
                      </w:tcPr>
                      <w:p w:rsidR="00494FEA" w:rsidRPr="00894EFD" w:rsidRDefault="00494F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2 לחוק העיקרי יבוא:</w:t>
                        </w:r>
                      </w:p>
                    </w:tc>
                    <w:tc>
                      <w:tcPr>
                        <w:tcW w:w="819" w:type="pct"/>
                      </w:tcPr>
                      <w:p w:rsidR="00494FEA" w:rsidRPr="00894EFD" w:rsidRDefault="00494F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2א</w:t>
                        </w:r>
                      </w:p>
                    </w:tc>
                  </w:tr>
                  <w:tr w:rsidR="00494FEA">
                    <w:trPr>
                      <w:jc w:val="right"/>
                    </w:trPr>
                    <w:tc>
                      <w:tcPr>
                        <w:tcW w:w="3529" w:type="pct"/>
                      </w:tcPr>
                      <w:p w:rsidR="00494FEA" w:rsidRDefault="00494F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(א) הוראות סעיף 2 לא יחולו על כרטיס תשלום שניתן לטעינה</w:t>
                        </w:r>
                      </w:p>
                      <w:p w:rsidR="00494FEA" w:rsidRDefault="00494F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חוזרת כאמור להלן, ובלבד שעם מסירת הכרטיס יספק המנפיק מידע בכתב</w:t>
                        </w:r>
                      </w:p>
                      <w:p w:rsidR="00494FEA" w:rsidRDefault="00494F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שיקבע שר המשפטים:</w:t>
                        </w:r>
                      </w:p>
                      <w:p w:rsidR="00494FEA" w:rsidRDefault="00494F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רק באמצעות כרטיס חיוב, נפרד, אחר;</w:t>
                        </w:r>
                      </w:p>
                      <w:p w:rsidR="00494FEA" w:rsidRDefault="00494F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בכסף מזומן וכן באמצעות כרטיס חיוב, נפרד, אחר,</w:t>
                        </w:r>
                      </w:p>
                      <w:p w:rsidR="00494FEA" w:rsidRDefault="00494F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בלבד.</w:t>
                        </w:r>
                      </w:p>
                      <w:p w:rsidR="00494FEA" w:rsidRDefault="00494F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חוזה לשימוש בכרטיס תשלום כאמור בסעיף קטן (א),</w:t>
                        </w:r>
                      </w:p>
                      <w:p w:rsidR="00494FEA" w:rsidRDefault="00494F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את מסירת כרטיס התשלום וקבלתו ככריתת חוזה כרטיס חיוב בין</w:t>
                        </w:r>
                      </w:p>
                      <w:p w:rsidR="00494FEA" w:rsidRDefault="00494F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המנפיק לרוכש הכרטיס או למי שהכרטיס הועבר אליו כדין."</w:t>
                        </w:r>
                      </w:p>
                    </w:tc>
                    <w:tc>
                      <w:tcPr>
                        <w:tcW w:w="652" w:type="pct"/>
                      </w:tcPr>
                      <w:p w:rsidR="00494FEA" w:rsidRDefault="00494F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"כריתת חוזה</w:t>
                        </w:r>
                      </w:p>
                      <w:p w:rsidR="00494FEA" w:rsidRDefault="00494F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כרטיס</w:t>
                        </w:r>
                      </w:p>
                      <w:p w:rsidR="00494FEA" w:rsidRPr="00894EFD" w:rsidRDefault="00494F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מיוחד</w:t>
                        </w:r>
                      </w:p>
                    </w:tc>
                    <w:tc>
                      <w:tcPr>
                        <w:tcW w:w="819" w:type="pct"/>
                      </w:tcPr>
                      <w:p w:rsidR="00494FEA" w:rsidRDefault="00494FE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94FEA" w:rsidRPr="00894EFD">
                    <w:trPr>
                      <w:jc w:val="right"/>
                    </w:trPr>
                    <w:tc>
                      <w:tcPr>
                        <w:tcW w:w="4181" w:type="pct"/>
                        <w:gridSpan w:val="2"/>
                      </w:tcPr>
                      <w:p w:rsidR="00494FEA" w:rsidRDefault="00494F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5 לחוק העיקרי -</w:t>
                        </w:r>
                      </w:p>
                      <w:p w:rsidR="00494FEA" w:rsidRDefault="00494F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 -</w:t>
                        </w:r>
                      </w:p>
                      <w:p w:rsidR="00494FEA" w:rsidRDefault="00494F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אחרי "בסעיף זה" יבוא "ובסעיף 6";</w:t>
                        </w:r>
                      </w:p>
                      <w:p w:rsidR="00494FEA" w:rsidRDefault="00494F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בהגדרה 'שימוש לרעה-, בסופה יבוא "בדרך של רכישת נכסים או משיכת</w:t>
                        </w:r>
                      </w:p>
                      <w:p w:rsidR="00494FEA" w:rsidRDefault="00494F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כסף, ובכרטיס תשלום - גם טעינתו";</w:t>
                        </w:r>
                      </w:p>
                      <w:p w:rsidR="00494FEA" w:rsidRPr="00894EFD" w:rsidRDefault="00494F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במקום "בסעיפים קטנים (ב) ו -(ג)' יבוא "בסעיף זה";</w:t>
                        </w:r>
                      </w:p>
                    </w:tc>
                    <w:tc>
                      <w:tcPr>
                        <w:tcW w:w="819" w:type="pct"/>
                      </w:tcPr>
                      <w:p w:rsidR="00494FEA" w:rsidRPr="00894EFD" w:rsidRDefault="00494F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</w:tbl>
                <w:p w:rsidR="00494FEA" w:rsidRDefault="00494FE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067" o:spid="_x0000_s1028" type="#_x0000_t202" style="position:absolute;left:0;text-align:left;margin-left:153.7pt;margin-top:215.65pt;width:259.2pt;height:23.15pt;z-index:1;mso-position-horizontal-relative:page;mso-position-vertical-relative:page" stroked="f">
            <v:textbox style="mso-next-textbox:#_x0000_s49067" inset="0,0,0,0">
              <w:txbxContent>
                <w:p w:rsidR="00494FEA" w:rsidRPr="00894EFD" w:rsidRDefault="00494FEA">
                  <w:pPr>
                    <w:pStyle w:val="OCRStyle1"/>
                    <w:ind w:left="16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כרטיסי חיוב (תיקון מס' 3), התשנ"ח-1998*</w:t>
                  </w:r>
                </w:p>
              </w:txbxContent>
            </v:textbox>
            <w10:wrap anchorx="page" anchory="page"/>
          </v:shape>
        </w:pict>
      </w:r>
    </w:p>
    <w:p w:rsidR="00494FEA" w:rsidRDefault="00494FEA">
      <w:pPr>
        <w:rPr>
          <w:rtl/>
        </w:rPr>
      </w:pPr>
      <w:r>
        <w:rPr>
          <w:rtl/>
        </w:rPr>
        <w:br w:type="page"/>
      </w:r>
    </w:p>
    <w:p w:rsidR="00494FEA" w:rsidRDefault="00000000">
      <w:pPr>
        <w:rPr>
          <w:rtl/>
        </w:rPr>
      </w:pPr>
      <w:r>
        <w:pict>
          <v:shape id="_x0000_s49068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9068" inset="0,0,0,0">
              <w:txbxContent>
                <w:p w:rsidR="00494FEA" w:rsidRDefault="00494FEA">
                  <w:r>
                    <w:rPr>
                      <w:rtl/>
                    </w:rPr>
                    <w:t>329                                         ספר החוקים 1684                    י"ד באב התשנ"ח 06.08.1998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69" o:spid="_x0000_s1030" type="#_x0000_t202" style="position:absolute;left:0;text-align:left;margin-left:272.7pt;margin-top:512.35pt;width:86.15pt;height:36.25pt;z-index:9;mso-position-horizontal-relative:page;mso-position-vertical-relative:page" stroked="f">
            <v:textbox style="mso-next-textbox:#_x0000_s49069" inset="0,0,0,0">
              <w:txbxContent>
                <w:p w:rsidR="00494FEA" w:rsidRDefault="00494FEA">
                  <w:pPr>
                    <w:pStyle w:val="OCRStyle2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494FEA" w:rsidRDefault="00494FEA">
                  <w:pPr>
                    <w:pStyle w:val="OCRStyle2"/>
                    <w:ind w:left="11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70" o:spid="_x0000_s1031" type="#_x0000_t202" style="position:absolute;left:0;text-align:left;margin-left:438.05pt;margin-top:514.15pt;width:71.3pt;height:30.1pt;z-index:8;mso-position-horizontal-relative:page;mso-position-vertical-relative:page" stroked="f">
            <v:textbox style="mso-next-textbox:#_x0000_s49070" inset="0,0,0,0">
              <w:txbxContent>
                <w:p w:rsidR="00494FEA" w:rsidRDefault="00494FEA">
                  <w:pPr>
                    <w:pStyle w:val="OCRStyle2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494FEA" w:rsidRDefault="00494FEA">
                  <w:pPr>
                    <w:pStyle w:val="OCRStyle2"/>
                    <w:ind w:left="17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71" o:spid="_x0000_s1032" type="#_x0000_t202" style="position:absolute;left:0;text-align:left;margin-left:176.3pt;margin-top:485.65pt;width:71.5pt;height:27.7pt;z-index:7;mso-position-horizontal-relative:page;mso-position-vertical-relative:page" stroked="f">
            <v:textbox style="mso-next-textbox:#_x0000_s49071" inset="0,0,0,0">
              <w:txbxContent>
                <w:p w:rsidR="00494FEA" w:rsidRDefault="00494FEA">
                  <w:pPr>
                    <w:pStyle w:val="OCRStyle2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צחי הנגבי</w:t>
                  </w:r>
                </w:p>
                <w:p w:rsidR="00494FEA" w:rsidRDefault="00494FEA">
                  <w:pPr>
                    <w:pStyle w:val="OCRStyle2"/>
                    <w:ind w:left="47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72" o:spid="_x0000_s1033" type="#_x0000_t202" style="position:absolute;left:0;text-align:left;margin-left:361.4pt;margin-top:487.4pt;width:80.8pt;height:26.75pt;z-index:6;mso-position-horizontal-relative:page;mso-position-vertical-relative:page" stroked="f">
            <v:textbox style="mso-next-textbox:#_x0000_s49072" inset="0,0,0,0">
              <w:txbxContent>
                <w:p w:rsidR="00494FEA" w:rsidRDefault="00494FEA">
                  <w:pPr>
                    <w:pStyle w:val="OCRStyle2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494FEA" w:rsidRDefault="00494FEA">
                  <w:pPr>
                    <w:pStyle w:val="OCRStyle2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73" o:spid="_x0000_s1034" type="#_x0000_t202" style="position:absolute;left:0;text-align:left;margin-left:84.2pt;margin-top:53.6pt;width:457.95pt;height:430.45pt;z-index:5;mso-position-horizontal-relative:page;mso-position-vertical-relative:page" stroked="f">
            <v:textbox style="mso-next-textbox:#_x0000_s4907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1"/>
                    <w:gridCol w:w="5752"/>
                    <w:gridCol w:w="1364"/>
                  </w:tblGrid>
                  <w:tr w:rsidR="00494FEA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494FEA" w:rsidRDefault="00494FE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3" w:type="pct"/>
                        <w:gridSpan w:val="2"/>
                      </w:tcPr>
                      <w:p w:rsidR="00494FEA" w:rsidRDefault="00494F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(ה) יבוא:</w:t>
                        </w:r>
                      </w:p>
                      <w:p w:rsidR="00494FEA" w:rsidRDefault="00494F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"(הו) על אף האמור בסעיפים קטנים (ב) ו-(ה), בכרטיס תשלום, יהיה הלקוח</w:t>
                        </w:r>
                      </w:p>
                      <w:p w:rsidR="00494FEA" w:rsidRDefault="00494F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אחראי, נוסף על האמור בסעיפים קטנים (ג) או (ד), גם לסכום הכסף הצבור</w:t>
                        </w:r>
                      </w:p>
                      <w:p w:rsidR="00494FEA" w:rsidRDefault="00494F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בכרטיס ער לטעינתו הראשונה בידי מי שאינו זכאי לכך; אחריותו של לקוח</w:t>
                        </w:r>
                      </w:p>
                      <w:p w:rsidR="00494FEA" w:rsidRDefault="00494F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סכום הכסף הצבור בכרטיס כאמור לא תעלה, בכל מקרה, על סכום של</w:t>
                        </w:r>
                      </w:p>
                      <w:p w:rsidR="00494FEA" w:rsidRDefault="00494F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 שקלים חדשים.";</w:t>
                        </w:r>
                      </w:p>
                      <w:p w:rsidR="00494FEA" w:rsidRDefault="00494F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סעיף קטן (ז) - בטל.</w:t>
                        </w:r>
                      </w:p>
                    </w:tc>
                  </w:tr>
                  <w:tr w:rsidR="00494FEA" w:rsidRPr="00494FEA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494FEA" w:rsidRPr="00494FEA" w:rsidRDefault="00494F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273" w:type="pct"/>
                        <w:gridSpan w:val="2"/>
                      </w:tcPr>
                      <w:p w:rsidR="00494FEA" w:rsidRDefault="00494F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6 לחוק העיקרי, אחרי סעיף קטן (ב) יבוא:</w:t>
                        </w:r>
                      </w:p>
                      <w:p w:rsidR="00494FEA" w:rsidRDefault="00494F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לענין סעיף 5(ה1) בדבר סכום הכסף הצבור בכרטיס תשלום, יהווה תצהיר של</w:t>
                        </w:r>
                      </w:p>
                      <w:p w:rsidR="00494FEA" w:rsidRDefault="00494F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הלקוח ראיה לכאורה להוכחת סכום הכסף הצבור בו; המנפיק ישיב ללקוח, בתוך</w:t>
                        </w:r>
                      </w:p>
                      <w:p w:rsidR="00494FEA" w:rsidRDefault="00494F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חמישה עשר ימים מיום מסירת התצהיר, את סכום החיוב המגיע לו לפי התצהיר;</w:t>
                        </w:r>
                      </w:p>
                      <w:p w:rsidR="00494FEA" w:rsidRDefault="00494F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בהוראות סעיף קטן זה כדי לגרוע מזכותו של המנפיק לדרוש מהלקוח את השבת</w:t>
                        </w:r>
                      </w:p>
                      <w:p w:rsidR="00494FEA" w:rsidRPr="00494FEA" w:rsidRDefault="00494F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שנתן לו, אם נקבע בפסק דין חלוט כי הכספים לא הגיעו ללקוח כדיך.</w:t>
                        </w:r>
                      </w:p>
                    </w:tc>
                  </w:tr>
                  <w:tr w:rsidR="00494FEA" w:rsidRPr="00494FEA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494FEA" w:rsidRPr="00494FEA" w:rsidRDefault="00494F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 ו</w:t>
                        </w:r>
                      </w:p>
                    </w:tc>
                    <w:tc>
                      <w:tcPr>
                        <w:tcW w:w="4273" w:type="pct"/>
                        <w:gridSpan w:val="2"/>
                      </w:tcPr>
                      <w:p w:rsidR="00494FEA" w:rsidRPr="00494FEA" w:rsidRDefault="00494F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12 לחוק העיקרי, סעיף קטן (ד) - בטל.</w:t>
                        </w:r>
                      </w:p>
                    </w:tc>
                  </w:tr>
                  <w:tr w:rsidR="00494FEA" w:rsidRPr="00494FEA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494FEA" w:rsidRPr="00494FEA" w:rsidRDefault="00494F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 ו</w:t>
                        </w:r>
                      </w:p>
                    </w:tc>
                    <w:tc>
                      <w:tcPr>
                        <w:tcW w:w="4273" w:type="pct"/>
                        <w:gridSpan w:val="2"/>
                      </w:tcPr>
                      <w:p w:rsidR="00494FEA" w:rsidRDefault="00494F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15 לחוק העיקרי, אחרי סעיף קטן (ג) יבוא:</w:t>
                        </w:r>
                      </w:p>
                      <w:p w:rsidR="00494FEA" w:rsidRPr="00494FEA" w:rsidRDefault="00494F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הוראות סעיף זה לא יחולו על סוג כרטיס תשלום כאמור בסעיף 2א.-</w:t>
                        </w:r>
                      </w:p>
                    </w:tc>
                  </w:tr>
                  <w:tr w:rsidR="00494FEA" w:rsidRPr="00494FEA">
                    <w:trPr>
                      <w:jc w:val="right"/>
                    </w:trPr>
                    <w:tc>
                      <w:tcPr>
                        <w:tcW w:w="727" w:type="pct"/>
                        <w:vMerge w:val="restart"/>
                      </w:tcPr>
                      <w:p w:rsidR="00494FEA" w:rsidRDefault="00494F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494FEA" w:rsidRPr="00494FEA" w:rsidRDefault="00494F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20א ו-20ב</w:t>
                        </w:r>
                      </w:p>
                    </w:tc>
                    <w:tc>
                      <w:tcPr>
                        <w:tcW w:w="4273" w:type="pct"/>
                        <w:gridSpan w:val="2"/>
                      </w:tcPr>
                      <w:p w:rsidR="00494FEA" w:rsidRPr="00494FEA" w:rsidRDefault="00494F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אחרי סעיף 20 לחוק העיקרי יבוא:</w:t>
                        </w:r>
                      </w:p>
                    </w:tc>
                  </w:tr>
                  <w:tr w:rsidR="00494FEA" w:rsidRPr="00494FEA">
                    <w:trPr>
                      <w:jc w:val="right"/>
                    </w:trPr>
                    <w:tc>
                      <w:tcPr>
                        <w:tcW w:w="727" w:type="pct"/>
                        <w:vMerge/>
                      </w:tcPr>
                      <w:p w:rsidR="00494FEA" w:rsidRDefault="00494FE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4" w:type="pct"/>
                      </w:tcPr>
                      <w:p w:rsidR="00494FEA" w:rsidRDefault="00494F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20א. (א) שר המשפטים רשאי בצו, בהתייעצות עם נגיד בנק ישראל</w:t>
                        </w:r>
                      </w:p>
                      <w:p w:rsidR="00494FEA" w:rsidRDefault="00494F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ובאישור ועדת החוקה חוק ומשפט של הכנסת, לשנות את הסכומים</w:t>
                        </w:r>
                      </w:p>
                      <w:p w:rsidR="00494FEA" w:rsidRDefault="00494F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הקבועים בסעיף 5.</w:t>
                        </w:r>
                      </w:p>
                      <w:p w:rsidR="00494FEA" w:rsidRDefault="00494F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בצו, באישור ועדת החוקה חוק ומשפט של</w:t>
                        </w:r>
                      </w:p>
                      <w:p w:rsidR="00494FEA" w:rsidRDefault="00494F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לשנות את הסכום הקבוע בסעיף 12.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494FEA" w:rsidRPr="00494FEA" w:rsidRDefault="00494F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-שינוי סכומים</w:t>
                        </w:r>
                      </w:p>
                    </w:tc>
                  </w:tr>
                  <w:tr w:rsidR="00494FEA" w:rsidRPr="00494FEA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494FEA" w:rsidRDefault="00494FE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4" w:type="pct"/>
                      </w:tcPr>
                      <w:p w:rsidR="00494FEA" w:rsidRDefault="00494F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20ב. שר המשפטים, בהתייעצות עם נגיד בנק ישראל ובאישור ועדת</w:t>
                        </w:r>
                      </w:p>
                      <w:p w:rsidR="00494FEA" w:rsidRDefault="00494F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החוקה חוק ומשפט של הכנסת, רשאי, בתקנות, לפטור סוגים של כרטיסי</w:t>
                        </w:r>
                      </w:p>
                      <w:p w:rsidR="00494FEA" w:rsidRDefault="00494F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מתחולת החוק, כולו או חלקו."</w:t>
                        </w:r>
                      </w:p>
                    </w:tc>
                    <w:tc>
                      <w:tcPr>
                        <w:tcW w:w="819" w:type="pct"/>
                      </w:tcPr>
                      <w:p w:rsidR="00494FEA" w:rsidRPr="00494FEA" w:rsidRDefault="00494FE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</w:t>
                        </w:r>
                      </w:p>
                    </w:tc>
                  </w:tr>
                </w:tbl>
                <w:p w:rsidR="00494FEA" w:rsidRDefault="00494FE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94EF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4EF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2D94573-2DC3-45D5-B75E-2481D60DA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94EF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94FE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2008-04-07T10:53:00Z</dcterms:created>
  <dcterms:modified xsi:type="dcterms:W3CDTF">2008-04-07T10:53:00Z</dcterms:modified>
</cp:coreProperties>
</file>