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39FF" w:rsidRDefault="00B239FF">
      <w:pPr>
        <w:rPr>
          <w:rtl/>
        </w:rPr>
      </w:pPr>
    </w:p>
    <w:p w:rsidR="00B239F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36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367" inset="0,0,0,0">
              <w:txbxContent>
                <w:p w:rsidR="005403FD" w:rsidRDefault="005403FD">
                  <w:r>
                    <w:rPr>
                      <w:rtl/>
                    </w:rPr>
                    <w:t>7                                           ספר החוקים 1689                   ט' בחשון התשנ"ט 29.10.1998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68" o:spid="_x0000_s1026" type="#_x0000_t202" style="position:absolute;left:0;text-align:left;margin-left:166.05pt;margin-top:651.75pt;width:390.85pt;height:78.4pt;z-index:3;mso-position-horizontal-relative:page;mso-position-vertical-relative:page" stroked="f">
            <v:textbox style="mso-next-textbox:#_x0000_s49368" inset="0,0,0,0">
              <w:txbxContent>
                <w:p w:rsidR="005403FD" w:rsidRDefault="005403FD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ל' בתשרי התשנ"ט (20 באוקטובר 1998); הצעת החוק ודברי הסבר פורסמו בהצעות</w:t>
                  </w:r>
                </w:p>
                <w:p w:rsidR="005403FD" w:rsidRDefault="005403FD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חוק 2683, מיום י"ג בשבט התשנ''ח (9 בפברואר 0998, עמ' 208.</w:t>
                  </w:r>
                </w:p>
                <w:p w:rsidR="005403FD" w:rsidRPr="00B239FF" w:rsidRDefault="005403FD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1 ס"ח התשל''ח, עמ' 153; התשמ"ב, עמ' 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69" o:spid="_x0000_s1027" type="#_x0000_t202" style="position:absolute;left:0;text-align:left;margin-left:100.7pt;margin-top:606.2pt;width:455.4pt;height:41.2pt;z-index:2;mso-position-horizontal-relative:page;mso-position-vertical-relative:page" stroked="f">
            <v:textbox style="mso-next-textbox:#_x0000_s4936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3"/>
                    <w:gridCol w:w="6857"/>
                  </w:tblGrid>
                  <w:tr w:rsidR="005403FD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5403FD" w:rsidRPr="00B239FF" w:rsidRDefault="005403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141" w:type="pct"/>
                      </w:tcPr>
                      <w:p w:rsidR="005403FD" w:rsidRDefault="005403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הרשויות המקומיות (משמעת), התשל"ח-1978 1 (להלן - החוק העיקרי),</w:t>
                        </w:r>
                      </w:p>
                      <w:p w:rsidR="005403FD" w:rsidRDefault="005403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7, אחרי סעיף קטן (ב) יבוא-.</w:t>
                        </w:r>
                      </w:p>
                    </w:tc>
                  </w:tr>
                </w:tbl>
                <w:p w:rsidR="005403FD" w:rsidRDefault="005403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370" o:spid="_x0000_s1028" type="#_x0000_t202" style="position:absolute;left:0;text-align:left;margin-left:175.55pt;margin-top:584.65pt;width:362.35pt;height:20.6pt;z-index:1;mso-position-horizontal-relative:page;mso-position-vertical-relative:page" stroked="f">
            <v:textbox style="mso-next-textbox:#_x0000_s49370" inset="0,0,0,0">
              <w:txbxContent>
                <w:p w:rsidR="005403FD" w:rsidRPr="00B239FF" w:rsidRDefault="005403FD">
                  <w:pPr>
                    <w:pStyle w:val="OCRStyle1"/>
                    <w:ind w:left="1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(משמעת) (תיקון מס' 2), התשנ"ט-1998*</w:t>
                  </w:r>
                </w:p>
              </w:txbxContent>
            </v:textbox>
            <w10:wrap anchorx="page" anchory="page"/>
          </v:shape>
        </w:pict>
      </w:r>
    </w:p>
    <w:p w:rsidR="005403FD" w:rsidRDefault="005403FD">
      <w:pPr>
        <w:rPr>
          <w:rtl/>
        </w:rPr>
      </w:pPr>
      <w:r>
        <w:rPr>
          <w:rtl/>
        </w:rPr>
        <w:br w:type="page"/>
      </w:r>
    </w:p>
    <w:p w:rsidR="005403FD" w:rsidRDefault="00000000">
      <w:pPr>
        <w:rPr>
          <w:rtl/>
        </w:rPr>
      </w:pPr>
      <w:r>
        <w:pict>
          <v:shape id="_x0000_s49371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9371" inset="0,0,0,0">
              <w:txbxContent>
                <w:p w:rsidR="005403FD" w:rsidRDefault="005403FD">
                  <w:r>
                    <w:rPr>
                      <w:rtl/>
                    </w:rPr>
                    <w:t>8                                           ספר החוקים 1689                   ט' בחשון התשנ"ט 29.10.1998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72" o:spid="_x0000_s1030" type="#_x0000_t202" style="position:absolute;left:0;text-align:left;margin-left:83.9pt;margin-top:690.5pt;width:226.5pt;height:55.85pt;z-index:10;mso-position-horizontal-relative:page;mso-position-vertical-relative:page" stroked="f">
            <v:textbox style="mso-next-textbox:#_x0000_s49372" inset="0,0,0,0">
              <w:txbxContent>
                <w:p w:rsidR="005403FD" w:rsidRDefault="005403F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373" o:spid="_x0000_s1031" type="#_x0000_t202" style="position:absolute;left:0;text-align:left;margin-left:104.5pt;margin-top:550.95pt;width:87.9pt;height:45.75pt;z-index:9;mso-position-horizontal-relative:page;mso-position-vertical-relative:page" stroked="f">
            <v:textbox style="mso-next-textbox:#_x0000_s49373" inset="0,0,0,0">
              <w:txbxContent>
                <w:p w:rsidR="005403FD" w:rsidRDefault="005403FD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5403FD" w:rsidRDefault="005403FD">
                  <w:pPr>
                    <w:pStyle w:val="OCRStyle2"/>
                    <w:ind w:left="41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74" o:spid="_x0000_s1032" type="#_x0000_t202" style="position:absolute;left:0;text-align:left;margin-left:202.7pt;margin-top:584.6pt;width:84.35pt;height:52.45pt;z-index:8;mso-position-horizontal-relative:page;mso-position-vertical-relative:page" stroked="f">
            <v:textbox style="mso-next-textbox:#_x0000_s49374" inset="0,0,0,0">
              <w:txbxContent>
                <w:p w:rsidR="005403FD" w:rsidRDefault="005403FD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5403FD" w:rsidRDefault="005403FD">
                  <w:pPr>
                    <w:pStyle w:val="OCRStyle2"/>
                    <w:ind w:left="2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75" o:spid="_x0000_s1033" type="#_x0000_t202" style="position:absolute;left:0;text-align:left;margin-left:290.65pt;margin-top:552.7pt;width:85.95pt;height:47.3pt;z-index:7;mso-position-horizontal-relative:page;mso-position-vertical-relative:page" stroked="f">
            <v:textbox style="mso-next-textbox:#_x0000_s49375" inset="0,0,0,0">
              <w:txbxContent>
                <w:p w:rsidR="005403FD" w:rsidRDefault="005403FD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5403FD" w:rsidRDefault="005403FD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76" o:spid="_x0000_s1034" type="#_x0000_t202" style="position:absolute;left:0;text-align:left;margin-left:384.3pt;margin-top:583.8pt;width:79.2pt;height:40.4pt;z-index:6;mso-position-horizontal-relative:page;mso-position-vertical-relative:page" stroked="f">
            <v:textbox style="mso-next-textbox:#_x0000_s49376" inset="0,0,0,0">
              <w:txbxContent>
                <w:p w:rsidR="005403FD" w:rsidRDefault="005403FD">
                  <w:pPr>
                    <w:pStyle w:val="OCRStyle2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403FD" w:rsidRDefault="005403FD">
                  <w:pPr>
                    <w:pStyle w:val="OCRStyle2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77" o:spid="_x0000_s1035" type="#_x0000_t202" style="position:absolute;left:0;text-align:left;margin-left:85.7pt;margin-top:62.05pt;width:462.35pt;height:484.7pt;z-index:5;mso-position-horizontal-relative:page;mso-position-vertical-relative:page" stroked="f">
            <v:textbox style="mso-next-textbox:#_x0000_s4937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0"/>
                    <w:gridCol w:w="911"/>
                    <w:gridCol w:w="1426"/>
                  </w:tblGrid>
                  <w:tr w:rsidR="005403FD">
                    <w:trPr>
                      <w:jc w:val="right"/>
                    </w:trPr>
                    <w:tc>
                      <w:tcPr>
                        <w:tcW w:w="4152" w:type="pct"/>
                        <w:gridSpan w:val="2"/>
                      </w:tcPr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נעדר מישיבה חבר צוות של בית הדין, למעט היושב ראש, יתקיים הדיון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ישיבה לפני שני חברי הצוות הנותרים אם הסכים לכך הנאשם, זולת אם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 יושב ראש הצוות לדחות את הדיון.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חבר צוות של בית הדין שנפטר או שכהונתו נפסקה או שהועבר מכהונתו או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שאב בית הדין קבע, לאחר שנתן הזדמנות לבעלי הדין להשמיע את טענותיהם לענין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כי החבר נעדר לעתים תכופות מישיבות בית הדין, או שלא יובל להמשיך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ולהשתתף בישיבות בית הדין, רשאי אב בית הדין למנות לצוות חבר אחר במקומו;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הצוות האחר רשאי להמשיך בדיון מן השלב שאליו הגיע הצוות הקודם ורשאי הוא,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שנתן הזדמנות לבעלי הדין להשמיע את טענותיהם לענין זה, לנהוג בראיות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שגבה הצוות הקודם כאילו גבה אותן בעצמו, או לחזור ולגבותן, כולן או מקצתן.''</w:t>
                        </w:r>
                      </w:p>
                    </w:tc>
                    <w:tc>
                      <w:tcPr>
                        <w:tcW w:w="848" w:type="pct"/>
                      </w:tcPr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403FD">
                    <w:trPr>
                      <w:jc w:val="right"/>
                    </w:trPr>
                    <w:tc>
                      <w:tcPr>
                        <w:tcW w:w="4152" w:type="pct"/>
                        <w:gridSpan w:val="2"/>
                      </w:tcPr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האמור בסעיף 8 לחוק העיקרי יסומן "(א)" ואחריו יבוא: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חבר בית הדין שהורשע בעבירה פלילית או בעבירת משמעת, רשאי שר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המשפטים, אם לדעתו אין זה ראוי שימשיך בכהונתו כחבר בית הדין, להעבירו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 בבית הדין, לאחר שנתן לו הזדמנות להביא את טענותיו לפניו או לפני מי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שהסמיך לכך."</w:t>
                        </w:r>
                      </w:p>
                    </w:tc>
                    <w:tc>
                      <w:tcPr>
                        <w:tcW w:w="848" w:type="pct"/>
                      </w:tcPr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5403FD">
                    <w:trPr>
                      <w:jc w:val="right"/>
                    </w:trPr>
                    <w:tc>
                      <w:tcPr>
                        <w:tcW w:w="4152" w:type="pct"/>
                        <w:gridSpan w:val="2"/>
                      </w:tcPr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האמור בסעיף 14 לחוק העיקרי יסומן ";א)" ואחריו יבוא: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בתובענה כאמור בסעיף קטן (א), מותר להאשים בעבירת משמעת אף אם לא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צוינה בקובלנה."</w:t>
                        </w:r>
                      </w:p>
                    </w:tc>
                    <w:tc>
                      <w:tcPr>
                        <w:tcW w:w="848" w:type="pct"/>
                      </w:tcPr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5403FD">
                    <w:trPr>
                      <w:jc w:val="right"/>
                    </w:trPr>
                    <w:tc>
                      <w:tcPr>
                        <w:tcW w:w="4152" w:type="pct"/>
                        <w:gridSpan w:val="2"/>
                      </w:tcPr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17 לחוק העיקרי, בפסקה (8), בסופה יבוא "ורשאי הוא להורות על תשלום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 הפיטורים שנשללו, כולם או מקצתם, כפי שיחליט, למי שהעובד חייב בפרנסתם.''</w:t>
                        </w:r>
                      </w:p>
                    </w:tc>
                    <w:tc>
                      <w:tcPr>
                        <w:tcW w:w="848" w:type="pct"/>
                      </w:tcPr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5403FD">
                    <w:trPr>
                      <w:jc w:val="right"/>
                    </w:trPr>
                    <w:tc>
                      <w:tcPr>
                        <w:tcW w:w="4152" w:type="pct"/>
                        <w:gridSpan w:val="2"/>
                      </w:tcPr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17 לחוק העיקרי יבוא:</w:t>
                        </w:r>
                      </w:p>
                    </w:tc>
                    <w:tc>
                      <w:tcPr>
                        <w:tcW w:w="848" w:type="pct"/>
                      </w:tcPr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17א</w:t>
                        </w:r>
                      </w:p>
                    </w:tc>
                  </w:tr>
                  <w:tr w:rsidR="005403FD">
                    <w:trPr>
                      <w:jc w:val="right"/>
                    </w:trPr>
                    <w:tc>
                      <w:tcPr>
                        <w:tcW w:w="3610" w:type="pct"/>
                      </w:tcPr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בעת הטלת אמצעי משמעת כאמור בסעיף 17 או בסמוך לאחר מכן,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הדין להורות, לאחר ששמע את טענות בעלי הדין לענין זה, בי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הנאשם להחזיר למעבידו את מה שהשיג על ידי מעשיו נושא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התובענה, או את תמורתם, ושהמעביד זכאי להם, בשיעור שלא יעלה על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 משכורות חודשיות של העובד; התמורה תיגבה בדרך של ניכוי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ממשכורתו, מקצבתו או מפיצויי פיטוריו או בדרך שבה נגבה קנס שהטיל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בהליך פלילי, בסכום אחד או בשיעורים, הכל כפי שיקבע בית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ובלבד שאם תוגש על ידי הרשות המקומית תביעה אזרחית לענין</w:t>
                        </w:r>
                      </w:p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יקוזז ממנה הסכום שבית הדין הורה עליו כאמור.''</w:t>
                        </w:r>
                      </w:p>
                    </w:tc>
                    <w:tc>
                      <w:tcPr>
                        <w:tcW w:w="542" w:type="pct"/>
                      </w:tcPr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''השבה</w:t>
                        </w:r>
                      </w:p>
                    </w:tc>
                    <w:tc>
                      <w:tcPr>
                        <w:tcW w:w="848" w:type="pct"/>
                      </w:tcPr>
                      <w:p w:rsidR="005403FD" w:rsidRDefault="005403F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403FD" w:rsidRDefault="005403F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239F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17AB70F-CAB9-4F63-89B0-90F73FE97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239F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403F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2008-04-07T10:40:00Z</dcterms:created>
  <dcterms:modified xsi:type="dcterms:W3CDTF">2008-04-07T10:40:00Z</dcterms:modified>
</cp:coreProperties>
</file>