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B19F9" w:rsidRDefault="009B19F9">
      <w:pPr>
        <w:rPr>
          <w:rtl/>
        </w:rPr>
      </w:pPr>
    </w:p>
    <w:p w:rsidR="009B19F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459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9459" inset="0,0,0,0">
              <w:txbxContent>
                <w:p w:rsidR="00150FA9" w:rsidRDefault="00150FA9">
                  <w:r>
                    <w:rPr>
                      <w:rtl/>
                    </w:rPr>
                    <w:t>22                                          ספר החוקים 1692                  כ"א בחשון התשנ"ט 10.11.1998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60" o:spid="_x0000_s1026" type="#_x0000_t202" style="position:absolute;left:0;text-align:left;margin-left:95.3pt;margin-top:718.1pt;width:202.95pt;height:19.8pt;z-index:4;mso-position-horizontal-relative:page;mso-position-vertical-relative:page" stroked="f">
            <v:textbox style="mso-next-textbox:#_x0000_s49460" inset="0,0,0,0">
              <w:txbxContent>
                <w:p w:rsidR="00150FA9" w:rsidRDefault="00150FA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461" o:spid="_x0000_s1027" type="#_x0000_t202" style="position:absolute;left:0;text-align:left;margin-left:97.1pt;margin-top:627.4pt;width:381.15pt;height:66.75pt;z-index:3;mso-position-horizontal-relative:page;mso-position-vertical-relative:page" stroked="f">
            <v:textbox style="mso-next-textbox:#_x0000_s49461" inset="0,0,0,0">
              <w:txbxContent>
                <w:p w:rsidR="00150FA9" w:rsidRDefault="00150FA9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י''ג בחשון התשנ"ט (2 בנובמבר 1998) הצעת החוק ודברי ההסבר פורסמו בהצעות</w:t>
                  </w:r>
                </w:p>
                <w:p w:rsidR="00150FA9" w:rsidRDefault="00150FA9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חוק 2704 מיום י''ח באדר התשנ''ח (16 במרס 1998) עמ 314</w:t>
                  </w:r>
                </w:p>
                <w:p w:rsidR="00150FA9" w:rsidRDefault="00150FA9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ס"ח התשמ'ו עמ 07ו התשנ''ח עמ 36</w:t>
                  </w:r>
                </w:p>
                <w:p w:rsidR="00150FA9" w:rsidRDefault="00150FA9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2 ס"ח דתשי''ט עמ 276</w:t>
                  </w:r>
                </w:p>
                <w:p w:rsidR="00150FA9" w:rsidRDefault="00150FA9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3 ס"ח דתשנ''ד עמ 156</w:t>
                  </w:r>
                </w:p>
                <w:p w:rsidR="00150FA9" w:rsidRPr="009B19F9" w:rsidRDefault="00150FA9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4 ס"ח התשנ'ד עמ 132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62" o:spid="_x0000_s1028" type="#_x0000_t202" style="position:absolute;left:0;text-align:left;margin-left:89.55pt;margin-top:90.25pt;width:454.6pt;height:532.2pt;z-index:2;mso-position-horizontal-relative:page;mso-position-vertical-relative:page" stroked="f">
            <v:textbox style="mso-next-textbox:#_x0000_s4946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3"/>
                    <w:gridCol w:w="1227"/>
                    <w:gridCol w:w="1248"/>
                  </w:tblGrid>
                  <w:tr w:rsidR="00150FA9" w:rsidRPr="009B19F9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150FA9" w:rsidRPr="009B19F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שירות בטחון [נוסח משולב], התשמ"ו-1986 1, אחרי סעיף 17 יבוא</w:t>
                        </w:r>
                      </w:p>
                    </w:tc>
                    <w:tc>
                      <w:tcPr>
                        <w:tcW w:w="755" w:type="pct"/>
                      </w:tcPr>
                      <w:p w:rsidR="00150FA9" w:rsidRPr="009B19F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דוספת סעיף 17א</w:t>
                        </w:r>
                      </w:p>
                    </w:tc>
                  </w:tr>
                  <w:tr w:rsidR="00150FA9">
                    <w:trPr>
                      <w:jc w:val="right"/>
                    </w:trPr>
                    <w:tc>
                      <w:tcPr>
                        <w:tcW w:w="3503" w:type="pct"/>
                      </w:tcPr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7וא (א) בסעיף זה -</w:t>
                        </w:r>
                      </w:p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בלתי כשר לשירות" - בלתי כשר לשירות או בלתי כשר ארעית</w:t>
                        </w:r>
                      </w:p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</w:t>
                        </w:r>
                      </w:p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 - יוצא צבא בשירות סדיר אשר במהלך טיפול רפואי בו נמצא</w:t>
                        </w:r>
                      </w:p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בלתי כשר לשירות</w:t>
                        </w:r>
                      </w:p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האבחון'' - אחר מאלה</w:t>
                        </w:r>
                      </w:p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יום הפציעה</w:t>
                        </w:r>
                      </w:p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היום שבו אובחן לראשונה המצב הבריאותי של יוצא</w:t>
                        </w:r>
                      </w:p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 בשירות סדיר כפי שייקבע בתקנות לפי סעיף זה</w:t>
                        </w:r>
                      </w:p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הטיפול - תקופה שבה זקוק יוצא צבא בשירות סדיר לטיפול</w:t>
                        </w:r>
                      </w:p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 שאינה עולה על 180 ימים ושתחילתה ביום האבחון</w:t>
                        </w:r>
                      </w:p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טיפול שניה - החלק מתקופת הטיפול שתחילתו 60 ימים מיום</w:t>
                        </w:r>
                      </w:p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האבחון או ביום שבו נמצא יוצא הצבא בשירות סדיר בלתי כשר</w:t>
                        </w:r>
                      </w:p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לפי המאוחר</w:t>
                        </w:r>
                      </w:p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חייל רשאי להתנדב לשירות סדיר לצורך קבלת טיפול</w:t>
                        </w:r>
                      </w:p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 לתקופה שלא תעלה על תקופת הטיפול או עד שהוכר</w:t>
                        </w:r>
                      </w:p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כמי שלקה בנכות לפי חוק הנכים (תגמולים ושיקום) [נוסח</w:t>
                        </w:r>
                      </w:p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 התשי ט-1959  2, לפי המוקדם</w:t>
                        </w:r>
                      </w:p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זכותו של חייל להתנדב כאמור בפסקה (1) תובא ליריעת</w:t>
                        </w:r>
                      </w:p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החייל בדרך שתיקבע בפקודות הצבא</w:t>
                        </w:r>
                      </w:p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קטן זה לא יחול במקרים שבהם קבע שר הבטחון</w:t>
                        </w:r>
                      </w:p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החוץ והבטחון של הכנסת כי חייל אינו רשאי</w:t>
                        </w:r>
                      </w:p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להתנדב</w:t>
                        </w:r>
                      </w:p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בתקופת הטיפול השניה יהא החייל בשירות ללא תשלום ויחולו</w:t>
                        </w:r>
                      </w:p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הוראות חוק ביטוח בריאות ממלכתי התשנ'ד-1994 3; תקופת</w:t>
                        </w:r>
                      </w:p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הטיפול השניה לא תיחשב כשירות סדיר לענין חוק קליטת חיילים</w:t>
                        </w:r>
                      </w:p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משוחררים התשנ'ד-41994</w:t>
                        </w:r>
                      </w:p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הבטחון באישור ועדת החוץ והבטחון של הכנסת רשאי</w:t>
                        </w:r>
                      </w:p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הוראות בכל ענין הנוגע לביצוע סעיף זה ובכלל זה -</w:t>
                        </w:r>
                      </w:p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כללים תנאים או מבחנים לקביעת יום האבחון, כאמור</w:t>
                        </w:r>
                      </w:p>
                      <w:p w:rsidR="00150FA9" w:rsidRPr="009B19F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(2) להגדרה ''יום האבחון",</w:t>
                        </w:r>
                      </w:p>
                    </w:tc>
                    <w:tc>
                      <w:tcPr>
                        <w:tcW w:w="742" w:type="pct"/>
                      </w:tcPr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''התנדבות לצורך</w:t>
                        </w:r>
                      </w:p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טיפול</w:t>
                        </w:r>
                      </w:p>
                      <w:p w:rsidR="00150FA9" w:rsidRPr="009B19F9" w:rsidRDefault="00150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</w:t>
                        </w:r>
                      </w:p>
                    </w:tc>
                    <w:tc>
                      <w:tcPr>
                        <w:tcW w:w="755" w:type="pct"/>
                      </w:tcPr>
                      <w:p w:rsidR="00150FA9" w:rsidRDefault="00150FA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50FA9" w:rsidRDefault="00150FA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463" o:spid="_x0000_s1029" type="#_x0000_t202" style="position:absolute;left:0;text-align:left;margin-left:155.7pt;margin-top:63.9pt;width:261.35pt;height:22.2pt;z-index:1;mso-position-horizontal-relative:page;mso-position-vertical-relative:page" stroked="f">
            <v:textbox style="mso-next-textbox:#_x0000_s49463" inset="0,0,0,0">
              <w:txbxContent>
                <w:p w:rsidR="00150FA9" w:rsidRPr="009B19F9" w:rsidRDefault="00150FA9">
                  <w:pPr>
                    <w:pStyle w:val="OCRStyle1"/>
                    <w:ind w:left="13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בטחון (תיקון מס' 10), התשנ"ט-1998 *</w:t>
                  </w:r>
                </w:p>
              </w:txbxContent>
            </v:textbox>
            <w10:wrap anchorx="page" anchory="page"/>
          </v:shape>
        </w:pict>
      </w:r>
    </w:p>
    <w:p w:rsidR="00150FA9" w:rsidRDefault="00150FA9">
      <w:pPr>
        <w:rPr>
          <w:rtl/>
        </w:rPr>
      </w:pPr>
      <w:r>
        <w:rPr>
          <w:rtl/>
        </w:rPr>
        <w:br w:type="page"/>
      </w:r>
    </w:p>
    <w:p w:rsidR="00150FA9" w:rsidRDefault="00000000">
      <w:pPr>
        <w:rPr>
          <w:rtl/>
        </w:rPr>
      </w:pPr>
      <w:r>
        <w:pict>
          <v:shape id="_x0000_s49464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9464" inset="0,0,0,0">
              <w:txbxContent>
                <w:p w:rsidR="00150FA9" w:rsidRDefault="00150FA9">
                  <w:r>
                    <w:rPr>
                      <w:rtl/>
                    </w:rPr>
                    <w:t>23                                          ספר החוקים 1692                  כ"א בחשון התשנ"ט 10.11.1998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65" o:spid="_x0000_s1031" type="#_x0000_t202" style="position:absolute;left:0;text-align:left;margin-left:187.65pt;margin-top:136.55pt;width:72.65pt;height:27.9pt;z-index:10;mso-position-horizontal-relative:page;mso-position-vertical-relative:page" stroked="f">
            <v:textbox style="mso-next-textbox:#_x0000_s49465" inset="0,0,0,0">
              <w:txbxContent>
                <w:p w:rsidR="00150FA9" w:rsidRDefault="00150FA9">
                  <w:pPr>
                    <w:pStyle w:val="OCRStyle2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יצחק מרדכי</w:t>
                  </w:r>
                </w:p>
                <w:p w:rsidR="00150FA9" w:rsidRDefault="00150FA9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66" o:spid="_x0000_s1032" type="#_x0000_t202" style="position:absolute;left:0;text-align:left;margin-left:283.5pt;margin-top:161.1pt;width:80.8pt;height:31.5pt;z-index:9;mso-position-horizontal-relative:page;mso-position-vertical-relative:page" stroked="f">
            <v:textbox style="mso-next-textbox:#_x0000_s49466" inset="0,0,0,0">
              <w:txbxContent>
                <w:p w:rsidR="00150FA9" w:rsidRDefault="00150FA9">
                  <w:pPr>
                    <w:pStyle w:val="OCRStyle2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150FA9" w:rsidRDefault="00150FA9">
                  <w:pPr>
                    <w:pStyle w:val="OCRStyle2"/>
                    <w:ind w:left="2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67" o:spid="_x0000_s1033" type="#_x0000_t202" style="position:absolute;left:0;text-align:left;margin-left:370pt;margin-top:134.75pt;width:80pt;height:31.5pt;z-index:8;mso-position-horizontal-relative:page;mso-position-vertical-relative:page" stroked="f">
            <v:textbox style="mso-next-textbox:#_x0000_s49467" inset="0,0,0,0">
              <w:txbxContent>
                <w:p w:rsidR="00150FA9" w:rsidRDefault="00150FA9">
                  <w:pPr>
                    <w:pStyle w:val="OCRStyle2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150FA9" w:rsidRDefault="00150FA9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68" o:spid="_x0000_s1034" type="#_x0000_t202" style="position:absolute;left:0;text-align:left;margin-left:463.25pt;margin-top:163.65pt;width:75.05pt;height:30.5pt;z-index:7;mso-position-horizontal-relative:page;mso-position-vertical-relative:page" stroked="f">
            <v:textbox style="mso-next-textbox:#_x0000_s49468" inset="0,0,0,0">
              <w:txbxContent>
                <w:p w:rsidR="00150FA9" w:rsidRDefault="00150FA9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50FA9" w:rsidRDefault="00150FA9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69" o:spid="_x0000_s1035" type="#_x0000_t202" style="position:absolute;left:0;text-align:left;margin-left:120.95pt;margin-top:64.65pt;width:428.1pt;height:62.75pt;z-index:6;mso-position-horizontal-relative:page;mso-position-vertical-relative:page" stroked="f">
            <v:textbox style="mso-next-textbox:#_x0000_s49469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96"/>
                    <w:gridCol w:w="6988"/>
                  </w:tblGrid>
                  <w:tr w:rsidR="00150FA9">
                    <w:trPr>
                      <w:jc w:val="right"/>
                    </w:trPr>
                    <w:tc>
                      <w:tcPr>
                        <w:tcW w:w="511" w:type="pct"/>
                      </w:tcPr>
                      <w:p w:rsidR="00150FA9" w:rsidRDefault="00150FA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89" w:type="pct"/>
                      </w:tcPr>
                      <w:p w:rsidR="00150FA9" w:rsidRDefault="00150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הזכויות והחובות שיוטלו על חייל המשרת שירות סדיר</w:t>
                        </w:r>
                      </w:p>
                      <w:p w:rsidR="00150FA9" w:rsidRDefault="00150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סעיף קטן (ב).''</w:t>
                        </w:r>
                      </w:p>
                    </w:tc>
                  </w:tr>
                  <w:tr w:rsidR="00150FA9">
                    <w:trPr>
                      <w:jc w:val="right"/>
                    </w:trPr>
                    <w:tc>
                      <w:tcPr>
                        <w:tcW w:w="511" w:type="pct"/>
                      </w:tcPr>
                      <w:p w:rsidR="00150FA9" w:rsidRDefault="00150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489" w:type="pct"/>
                      </w:tcPr>
                      <w:p w:rsidR="00150FA9" w:rsidRDefault="00150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180 ימים מיום פרסומו.</w:t>
                        </w:r>
                      </w:p>
                    </w:tc>
                  </w:tr>
                </w:tbl>
                <w:p w:rsidR="00150FA9" w:rsidRDefault="00150FA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B19F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19F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271E5A7-3828-4D8F-9412-8FBD79C94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B19F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50FA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2008-04-07T10:41:00Z</dcterms:created>
  <dcterms:modified xsi:type="dcterms:W3CDTF">2008-04-07T10:41:00Z</dcterms:modified>
</cp:coreProperties>
</file>