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24B8" w:rsidRDefault="007824B8">
      <w:pPr>
        <w:rPr>
          <w:rtl/>
        </w:rPr>
      </w:pPr>
    </w:p>
    <w:p w:rsidR="007824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491" inset="0,0,0,0">
              <w:txbxContent>
                <w:p w:rsidR="00C81294" w:rsidRDefault="00C81294">
                  <w:r>
                    <w:rPr>
                      <w:rtl/>
                    </w:rPr>
                    <w:t>107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92" o:spid="_x0000_s1026" type="#_x0000_t202" style="position:absolute;left:0;text-align:left;margin-left:165.2pt;margin-top:643.65pt;width:390.85pt;height:113.65pt;z-index:3;mso-position-horizontal-relative:page;mso-position-vertical-relative:page" stroked="f">
            <v:textbox style="mso-next-textbox:#_x0000_s49492" inset="0,0,0,0">
              <w:txbxContent>
                <w:p w:rsidR="00C81294" w:rsidRDefault="00C81294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י"ב באדר התשנ"א (26 בפברואר 1991): הצעת החוק ודברי הסבר פורסמו בהצעות חוק 2009,</w:t>
                  </w:r>
                </w:p>
                <w:p w:rsidR="00C81294" w:rsidRDefault="00C81294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מיום ח' באב התש''ן (30 ביולי 1990), עמ' 267.</w:t>
                  </w:r>
                </w:p>
                <w:p w:rsidR="00C81294" w:rsidRPr="007824B8" w:rsidRDefault="00C8129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ס"ח התשמ''ה, עמ' 142: התשמ"ז, עמ' 88: התשמ''ח, עמ' 44: התשמ"ט, עמ' 10 ועמ'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93" o:spid="_x0000_s1027" type="#_x0000_t202" style="position:absolute;left:0;text-align:left;margin-left:99.9pt;margin-top:473.35pt;width:455.4pt;height:168.7pt;z-index:2;mso-position-horizontal-relative:page;mso-position-vertical-relative:page" stroked="f">
            <v:textbox style="mso-next-textbox:#_x0000_s4949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6925"/>
                  </w:tblGrid>
                  <w:tr w:rsidR="00C81294" w:rsidRPr="007824B8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C81294" w:rsidRPr="007824B8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C81294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שירות הקבע בצבא הגנה לישראל (גימלאות) (נוסח משולב],</w:t>
                        </w:r>
                      </w:p>
                      <w:p w:rsidR="00C81294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התשמ"ה-1985 1(להלן - החוק העיקרי), בהגדרת "נכה", המלים "אך למעט נכה כמשמעותו</w:t>
                        </w:r>
                      </w:p>
                      <w:p w:rsidR="00C81294" w:rsidRPr="007824B8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הנכים" - יימחקו.</w:t>
                        </w:r>
                      </w:p>
                    </w:tc>
                  </w:tr>
                  <w:tr w:rsidR="00C81294" w:rsidRPr="007824B8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C81294" w:rsidRPr="007824B8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C81294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10(א) לחוק העיקרי, בפסקה (3), המלים "בין כמשמעותה לפי חוק זה ובין</w:t>
                        </w:r>
                      </w:p>
                      <w:p w:rsidR="00C81294" w:rsidRPr="007824B8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לפי חוק הנכים" - יימחקו.</w:t>
                        </w:r>
                      </w:p>
                    </w:tc>
                  </w:tr>
                  <w:tr w:rsidR="00C81294" w:rsidRPr="007824B8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C81294" w:rsidRPr="007824B8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C81294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 לחוק העיקרי -</w:t>
                        </w:r>
                      </w:p>
                      <w:p w:rsidR="00C81294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המלים "בין כמשמעותו בחוק זה ובין כמשמעותו בחוק</w:t>
                        </w:r>
                      </w:p>
                      <w:p w:rsidR="00C81294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הנכים" - יימחקו:</w:t>
                        </w:r>
                      </w:p>
                      <w:p w:rsidR="00C81294" w:rsidRPr="007824B8" w:rsidRDefault="00C812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בפסקה (1), בסופה יבוא "או (ב)".</w:t>
                        </w:r>
                      </w:p>
                    </w:tc>
                  </w:tr>
                </w:tbl>
                <w:p w:rsidR="00C81294" w:rsidRDefault="00C812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94" o:spid="_x0000_s1028" type="#_x0000_t202" style="position:absolute;left:0;text-align:left;margin-left:185pt;margin-top:433.75pt;width:346.9pt;height:37.8pt;z-index:1;mso-position-horizontal-relative:page;mso-position-vertical-relative:page" stroked="f">
            <v:textbox style="mso-next-textbox:#_x0000_s49494" inset="0,0,0,0">
              <w:txbxContent>
                <w:p w:rsidR="00C81294" w:rsidRDefault="00C81294">
                  <w:pPr>
                    <w:pStyle w:val="OCRStyle1"/>
                    <w:ind w:left="18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הקבע בצבא הגנה לישראל (גימלאות) (תיקון מסי 5),</w:t>
                  </w:r>
                </w:p>
                <w:p w:rsidR="00C81294" w:rsidRPr="007824B8" w:rsidRDefault="00C81294">
                  <w:pPr>
                    <w:pStyle w:val="OCRStyle1"/>
                    <w:ind w:left="23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 *</w:t>
                  </w:r>
                </w:p>
              </w:txbxContent>
            </v:textbox>
            <w10:wrap anchorx="page" anchory="page"/>
          </v:shape>
        </w:pict>
      </w:r>
    </w:p>
    <w:p w:rsidR="007C3715" w:rsidRDefault="007C3715">
      <w:pPr>
        <w:rPr>
          <w:rtl/>
        </w:rPr>
      </w:pPr>
      <w:r>
        <w:rPr>
          <w:rtl/>
        </w:rPr>
        <w:br w:type="page"/>
      </w:r>
    </w:p>
    <w:p w:rsidR="007C3715" w:rsidRDefault="00000000">
      <w:pPr>
        <w:rPr>
          <w:rtl/>
        </w:rPr>
      </w:pPr>
      <w:r>
        <w:pict>
          <v:shape id="_x0000_s4949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495" inset="0,0,0,0">
              <w:txbxContent>
                <w:p w:rsidR="00C81294" w:rsidRDefault="00C81294">
                  <w:r>
                    <w:rPr>
                      <w:rtl/>
                    </w:rPr>
                    <w:t>108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96" o:spid="_x0000_s1030" type="#_x0000_t202" style="position:absolute;left:0;text-align:left;margin-left:81.15pt;margin-top:730.95pt;width:162.75pt;height:31.7pt;z-index:6;mso-position-horizontal-relative:page;mso-position-vertical-relative:page" stroked="f">
            <v:textbox style="mso-next-textbox:#_x0000_s49496" inset="0,0,0,0">
              <w:txbxContent>
                <w:p w:rsidR="00C81294" w:rsidRDefault="00C812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497" o:spid="_x0000_s1031" type="#_x0000_t202" style="position:absolute;left:0;text-align:left;margin-left:76.8pt;margin-top:80.9pt;width:471.05pt;height:629.25pt;z-index:5;mso-position-horizontal-relative:page;mso-position-vertical-relative:page" stroked="f">
            <v:textbox style="mso-next-textbox:#_x0000_s4949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105"/>
                    <w:gridCol w:w="1487"/>
                  </w:tblGrid>
                  <w:tr w:rsidR="00C81294" w:rsidRPr="007C3715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38 לחוק העיקרי יבוא: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38</w:t>
                        </w:r>
                      </w:p>
                    </w:tc>
                  </w:tr>
                  <w:tr w:rsidR="00C81294">
                    <w:trPr>
                      <w:jc w:val="right"/>
                    </w:trPr>
                    <w:tc>
                      <w:tcPr>
                        <w:tcW w:w="3487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שר הבטחון רשאי להתקשר עם מעביד בהסכם כללי או מיוחד לאדם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ששמו נקוב בהסכם, שלפיו תקופת עבודתו, כולה או מקצתה, של העובר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הקבע לעבודה אצל המעביד או להיפר, תבוא בחשבון לענין זכויות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לגימלאות, כולן או מקצתן, מן המדינה לפי חוק זה או מן המעביד שלא לפי חוק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וכן מקצתן מזו ומקצתן מזה, הכל לפי תנאים שיראו לקבוע בהסכם, לרבות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ותחולה למפרע.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דין הסכם כאמור עם קרן פנסיה או קרן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תגמולים, שעובדי המעביד קשורים בה או המשרתת את עובדי המעביד - כדין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עם המעביד.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"תקופת עבודה" - תקופת שירות בשירות הקבע או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עבודה אצל המעביד."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עם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81294" w:rsidRPr="007C3715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39 לחוק העיקרי -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"זכויות לפי הסכם";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יבוא: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שפרש משירות הקבע ועבר לעבוד אצל מעביד ואותה פרישה מהווה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לתשלום גימלה לפי חוק זה על השירות שממנו פרש, יהא זכאי לגימלה זו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בלבד; אולם -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העובד הודיע לממונה בכתב, תוך התקופה שנקבעה בהסכם הכללי, כי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בוחר בזכויותיו לפי אותו הסכם, יהא זכאי רק לזכויות אלה-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הביא הממונה את ההסכם לידיעת העובד בדרך שנקבעה בתקנות, יהיה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זכאי לזכויותיו לפי ההסכם בלבד, זולת אם הודיע לממונה תוך הזמן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שנקבעו בתקנות, כי הוא בוחר בזכויותיו לפי חוק זה ולא לפי ההסכם."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C81294" w:rsidRPr="007C3715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40 לחוק העיקרי יבוא: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40</w:t>
                        </w:r>
                      </w:p>
                    </w:tc>
                  </w:tr>
                  <w:tr w:rsidR="00C81294">
                    <w:trPr>
                      <w:jc w:val="right"/>
                    </w:trPr>
                    <w:tc>
                      <w:tcPr>
                        <w:tcW w:w="3487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לא יתקשר שר הבטחון בהסכם מיוחד לפי סעיף 38 אלא בהסכמת האדם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שההסכם חל עליו; השר יקבע בתקנות את התנאים שבהם מותר להתקשר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בהסכמים כאמור, ובלבד שלא יתנו על הסכמת האדם."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הסכם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81294" w:rsidRPr="007C3715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כמקום סעיף 42 לחוק העיקרי יבוא: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42א</w:t>
                        </w:r>
                      </w:p>
                    </w:tc>
                  </w:tr>
                  <w:tr w:rsidR="00C81294">
                    <w:trPr>
                      <w:jc w:val="right"/>
                    </w:trPr>
                    <w:tc>
                      <w:tcPr>
                        <w:tcW w:w="3487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עבר אדם מעבודה אצל מעביד לשירות הקבע ולא חל על העברתו זו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לפי סעיף 38, יהא מותר, לענין זכויותיו וזכויות שאיריו לפי חוק זה,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להביא בחשבון את תקופת עבודתו של אותו אדם במקום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הקודם, כולה או מקצתה, הכל לפי תנאים וכללים שנקבעו בתקנות,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תשלום ותחולה למפרע.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 אדם משירות הקבע לעבודה אצל מעביד ולא חל על העברתו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לפי סעיף 38, רשאי שר הבטחון להתקשר איתו בהסכם שלפיו ישולמו לו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לשאיריו גימלאות, בעד תקופת שירותו בשירות הקבע כולה או מקצתה,</w:t>
                        </w:r>
                      </w:p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תנאים וכללים שנקבעו בתקנות, לרבות תשלומי העובד לאוצר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ותחולה למפרע.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בדבר</w:t>
                        </w:r>
                      </w:p>
                      <w:p w:rsidR="00C81294" w:rsidRPr="007C3715" w:rsidRDefault="00C8129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רציפות זכויות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81294" w:rsidRDefault="00C8129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81294" w:rsidRDefault="00C8129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81294" w:rsidRDefault="00C81294">
      <w:pPr>
        <w:rPr>
          <w:rtl/>
        </w:rPr>
      </w:pPr>
      <w:r>
        <w:rPr>
          <w:rtl/>
        </w:rPr>
        <w:br w:type="page"/>
      </w:r>
    </w:p>
    <w:p w:rsidR="00C81294" w:rsidRDefault="00000000">
      <w:pPr>
        <w:rPr>
          <w:rtl/>
        </w:rPr>
      </w:pPr>
      <w:r>
        <w:pict>
          <v:shape id="_x0000_s4949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498" inset="0,0,0,0">
              <w:txbxContent>
                <w:p w:rsidR="00C81294" w:rsidRDefault="00C81294">
                  <w:r>
                    <w:rPr>
                      <w:rtl/>
                    </w:rPr>
                    <w:t>109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99" o:spid="_x0000_s1033" type="#_x0000_t202" style="position:absolute;left:0;text-align:left;margin-left:187.6pt;margin-top:150.5pt;width:66.35pt;height:31.1pt;z-index:12;mso-position-horizontal-relative:page;mso-position-vertical-relative:page" stroked="f">
            <v:textbox style="mso-next-textbox:#_x0000_s49499" inset="0,0,0,0">
              <w:txbxContent>
                <w:p w:rsidR="00C81294" w:rsidRDefault="00C81294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C81294" w:rsidRDefault="00C81294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0" o:spid="_x0000_s1034" type="#_x0000_t202" style="position:absolute;left:0;text-align:left;margin-left:266.8pt;margin-top:179pt;width:89.5pt;height:30.9pt;z-index:11;mso-position-horizontal-relative:page;mso-position-vertical-relative:page" stroked="f">
            <v:textbox style="mso-next-textbox:#_x0000_s49500" inset="0,0,0,0">
              <w:txbxContent>
                <w:p w:rsidR="00C81294" w:rsidRDefault="00C81294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C81294" w:rsidRDefault="00C81294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1" o:spid="_x0000_s1035" type="#_x0000_t202" style="position:absolute;left:0;text-align:left;margin-left:374.5pt;margin-top:151.3pt;width:74.05pt;height:29.3pt;z-index:10;mso-position-horizontal-relative:page;mso-position-vertical-relative:page" stroked="f">
            <v:textbox style="mso-next-textbox:#_x0000_s49501" inset="0,0,0,0">
              <w:txbxContent>
                <w:p w:rsidR="00C81294" w:rsidRDefault="00C81294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81294" w:rsidRDefault="00C81294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2" o:spid="_x0000_s1036" type="#_x0000_t202" style="position:absolute;left:0;text-align:left;margin-left:456.3pt;margin-top:174.65pt;width:86.9pt;height:38.8pt;z-index:9;mso-position-horizontal-relative:page;mso-position-vertical-relative:page" stroked="f">
            <v:textbox style="mso-next-textbox:#_x0000_s49502" inset="0,0,0,0">
              <w:txbxContent>
                <w:p w:rsidR="00C81294" w:rsidRDefault="00C81294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81294" w:rsidRDefault="00C81294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3" o:spid="_x0000_s1037" type="#_x0000_t202" style="position:absolute;left:0;text-align:left;margin-left:92.15pt;margin-top:65.35pt;width:462.15pt;height:84.35pt;z-index:8;mso-position-horizontal-relative:page;mso-position-vertical-relative:page" stroked="f">
            <v:textbox style="mso-next-textbox:#_x0000_s495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3"/>
                    <w:gridCol w:w="5739"/>
                    <w:gridCol w:w="1180"/>
                  </w:tblGrid>
                  <w:tr w:rsidR="00C81294" w:rsidRPr="00C81294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5" w:type="pct"/>
                      </w:tcPr>
                      <w:p w:rsid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על אף האמור בסעיפים 37 עד 42 לא יהא אדם זכאי לגימלה בקשר</w:t>
                        </w:r>
                      </w:p>
                      <w:p w:rsid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אחת, גם לפי חוק זה וגם מן המעביד האחר או מן המדינה שלא לפי חוק</w:t>
                        </w:r>
                      </w:p>
                      <w:p w:rsid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והברירה בידו."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גימלאות</w:t>
                        </w:r>
                      </w:p>
                      <w:p w:rsidR="00C81294" w:rsidRP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</w:tr>
                  <w:tr w:rsidR="00C81294" w:rsidRPr="00C81294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C81294" w:rsidRP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  <w:tc>
                      <w:tcPr>
                        <w:tcW w:w="4117" w:type="pct"/>
                        <w:gridSpan w:val="2"/>
                      </w:tcPr>
                      <w:p w:rsidR="00C81294" w:rsidRPr="00C81294" w:rsidRDefault="00C8129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67 לחוק העיקרי, סעיף קטן (א) - בטל.</w:t>
                        </w:r>
                      </w:p>
                    </w:tc>
                  </w:tr>
                </w:tbl>
                <w:p w:rsidR="00C81294" w:rsidRDefault="00C8129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24B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466B43-02EE-4C46-BDAD-B9539734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24B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C371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8129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2008-04-07T12:42:00Z</dcterms:created>
  <dcterms:modified xsi:type="dcterms:W3CDTF">2008-04-07T12:43:00Z</dcterms:modified>
</cp:coreProperties>
</file>