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4673" w:rsidRDefault="00034673">
      <w:pPr>
        <w:rPr>
          <w:rtl/>
        </w:rPr>
      </w:pPr>
    </w:p>
    <w:p w:rsidR="000346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4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046" inset="0,0,0,0">
              <w:txbxContent>
                <w:p w:rsidR="00034673" w:rsidRDefault="00034673">
                  <w:r>
                    <w:rPr>
                      <w:rtl/>
                    </w:rPr>
                    <w:t>142                                         ספר החוקים 1708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7" o:spid="_x0000_s1026" type="#_x0000_t202" style="position:absolute;left:0;text-align:left;margin-left:91.85pt;margin-top:656.95pt;width:382.95pt;height:79.2pt;z-index:6;mso-position-horizontal-relative:page;mso-position-vertical-relative:page" stroked="f">
            <v:textbox style="mso-next-textbox:#_x0000_s50047" inset="0,0,0,0">
              <w:txbxContent>
                <w:p w:rsidR="00034673" w:rsidRDefault="0003467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 באייר התשנ''ט (19 באפריל 1999) הצעת החוק ודברי ההסבר פורסמו בהצעות חוק</w:t>
                  </w:r>
                </w:p>
                <w:p w:rsidR="00034673" w:rsidRDefault="0003467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2778 מיום כ"ה בכסלו התשנ"ט (14 בדצמבר 1998) עמ 210</w:t>
                  </w:r>
                </w:p>
                <w:p w:rsidR="00034673" w:rsidRPr="00034673" w:rsidRDefault="00034673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 ח התשל"א עמ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8" o:spid="_x0000_s1027" type="#_x0000_t202" style="position:absolute;left:0;text-align:left;margin-left:98.6pt;margin-top:618.95pt;width:85.75pt;height:31.3pt;z-index:5;mso-position-horizontal-relative:page;mso-position-vertical-relative:page" stroked="f">
            <v:textbox style="mso-next-textbox:#_x0000_s50048" inset="0,0,0,0">
              <w:txbxContent>
                <w:p w:rsidR="00034673" w:rsidRDefault="00034673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34673" w:rsidRDefault="0003467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9" o:spid="_x0000_s1028" type="#_x0000_t202" style="position:absolute;left:0;text-align:left;margin-left:238pt;margin-top:593.4pt;width:94.05pt;height:28.9pt;z-index:4;mso-position-horizontal-relative:page;mso-position-vertical-relative:page" stroked="f">
            <v:textbox style="mso-next-textbox:#_x0000_s50049" inset="0,0,0,0">
              <w:txbxContent>
                <w:p w:rsidR="00034673" w:rsidRDefault="0003467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34673" w:rsidRDefault="00034673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0" o:spid="_x0000_s1029" type="#_x0000_t202" style="position:absolute;left:0;text-align:left;margin-left:383.9pt;margin-top:614pt;width:71.85pt;height:33.05pt;z-index:3;mso-position-horizontal-relative:page;mso-position-vertical-relative:page" stroked="f">
            <v:textbox style="mso-next-textbox:#_x0000_s50050" inset="0,0,0,0">
              <w:txbxContent>
                <w:p w:rsidR="00034673" w:rsidRDefault="00034673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עזר ו י צ מן</w:t>
                  </w:r>
                </w:p>
                <w:p w:rsidR="00034673" w:rsidRDefault="00034673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1" o:spid="_x0000_s1030" type="#_x0000_t202" style="position:absolute;left:0;text-align:left;margin-left:89.5pt;margin-top:88.3pt;width:465.3pt;height:504.9pt;z-index:2;mso-position-horizontal-relative:page;mso-position-vertical-relative:page" stroked="f">
            <v:textbox style="mso-next-textbox:#_x0000_s500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14"/>
                    <w:gridCol w:w="1545"/>
                  </w:tblGrid>
                  <w:tr w:rsidR="00034673" w:rsidRPr="0003467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034673" w:rsidRDefault="0003467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אקו (</w:t>
                        </w:r>
                        <w:r>
                          <w:t>ECU</w:t>
                        </w:r>
                        <w:r>
                          <w:rPr>
                            <w:rtl/>
                          </w:rPr>
                          <w:t>) - סל המטבעות המשמש באיחוד האירופי כיחידת חישוב כאמור בסעיף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  <w:r>
                          <w:t>G</w:t>
                        </w:r>
                        <w:r>
                          <w:rPr>
                            <w:rtl/>
                          </w:rPr>
                          <w:t xml:space="preserve"> לאמנת האיחור האירופי ובתקנה של המועצה האירופית מספר 3320/94 מיום 22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1994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 יורו - המטבע האירופי האחיד כמשמעותו בתקנה של המועצה האירופית מספר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974/98 מיום 3 במאי 1998 או כפי שתתוקן או שתוחלף מעת לעת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כינון האירו - כינון האירו כמטבע החל ביום ו בינואר 1999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ההמרה - כללי חישוב שער ההמרה כאמור בתקנה של המועצה האירופית מספר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1103/97 מיום 17 ביוני 1997 או כפי שתתוקן או שתוחלף מעת לעת,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אירופי - המטבע הלאומי של כל אחת מהמדינות החברות באיחוד האירופי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המאמצות את האירו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מחייב - חוזה או מסמך אחר הכולל חיוב כספי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ההמרה - שער קבוע אשר מבטא את השווי של מטבע אירו אחד ליחידות של מטבע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אירופי ואשר מועצת האיחוד האירופי או מוסד מוסמך אחר באיחוד האירופי קובע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</w:t>
                        </w:r>
                      </w:p>
                    </w:tc>
                    <w:tc>
                      <w:tcPr>
                        <w:tcW w:w="913" w:type="pct"/>
                      </w:tcPr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דגדרות</w:t>
                        </w:r>
                      </w:p>
                    </w:tc>
                  </w:tr>
                  <w:tr w:rsidR="00034673" w:rsidRPr="0003467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(א) החל ביום י ג בטבת התשנ ט (1 בינואר 1999) כל מקום שבו מצוין במסמך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מחייב המונח אקו יקראו כאילו מצוין בו אירו בערך של אירו אחד לאקו אחד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נכללה במסמך המחייב הגדרה של המונח אקו חזקה שמשמעות המונח היא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1 אלא אם כן הוסכם אחרת</w:t>
                        </w:r>
                      </w:p>
                    </w:tc>
                    <w:tc>
                      <w:tcPr>
                        <w:tcW w:w="913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האקו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וחזקה</w:t>
                        </w:r>
                      </w:p>
                    </w:tc>
                  </w:tr>
                  <w:tr w:rsidR="00034673" w:rsidRPr="0003467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החל ביום י ז בטבת התשס ב (1 בינואר 2002) כל מקום שבו מצוין במסמך מחייב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אירופי יקראו כאילו מצוין בו אירו בהתאם לשער ההמרה ולכללי ההמרה</w:t>
                        </w:r>
                      </w:p>
                    </w:tc>
                    <w:tc>
                      <w:tcPr>
                        <w:tcW w:w="913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המרת מטבע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אירופי לאירו</w:t>
                        </w:r>
                      </w:p>
                    </w:tc>
                  </w:tr>
                  <w:tr w:rsidR="00034673" w:rsidRPr="0003467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(א) אין בכינון האירו כדי -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חיוב במסמך מחייב למעט לפי הוראות סעיפים 2 ו-ג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לגרוע מתוקפו של מסמך מחייב או להוות פטור מקיומו לפי הוראות סעיף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לחוק החוזים (תרופות בשל הפרת חוזה) התשל א-1970 1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לזכות בביטול מסמך מחייב בפיצויים או בתרופות או בסעדים אחרים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אם הוסכם אחרת</w:t>
                        </w:r>
                      </w:p>
                    </w:tc>
                    <w:tc>
                      <w:tcPr>
                        <w:tcW w:w="913" w:type="pct"/>
                      </w:tcPr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המשכיות מסמכים</w:t>
                        </w:r>
                      </w:p>
                    </w:tc>
                  </w:tr>
                  <w:tr w:rsidR="00034673" w:rsidRPr="0003467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י ג בטבת התשנ ט (ו בינואר 1999) (להלן - יום התחילה)</w:t>
                        </w:r>
                      </w:p>
                      <w:p w:rsid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גם על מסמך מחייב שנעשה לפני יום התחילה, לגבי חיוב הכלול בו המתבצע</w:t>
                        </w:r>
                      </w:p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אותו יום</w:t>
                        </w:r>
                      </w:p>
                    </w:tc>
                    <w:tc>
                      <w:tcPr>
                        <w:tcW w:w="913" w:type="pct"/>
                      </w:tcPr>
                      <w:p w:rsidR="00034673" w:rsidRPr="00034673" w:rsidRDefault="00034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034673" w:rsidRDefault="000346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52" o:spid="_x0000_s1031" type="#_x0000_t202" style="position:absolute;left:0;text-align:left;margin-left:185.9pt;margin-top:59.6pt;width:193.05pt;height:24.55pt;z-index:1;mso-position-horizontal-relative:page;mso-position-vertical-relative:page" stroked="f">
            <v:textbox style="mso-next-textbox:#_x0000_s50052" inset="0,0,0,0">
              <w:txbxContent>
                <w:p w:rsidR="00034673" w:rsidRPr="00034673" w:rsidRDefault="00034673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ההמרה לאירו,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346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A03E91-F025-42E1-AC51-FBD57656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467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