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1C30" w:rsidRDefault="007D1C30">
      <w:pPr>
        <w:rPr>
          <w:rtl/>
        </w:rPr>
      </w:pPr>
    </w:p>
    <w:p w:rsidR="007D1C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072" inset="0,0,0,0">
              <w:txbxContent>
                <w:p w:rsidR="00E22F67" w:rsidRDefault="00E22F67">
                  <w:r>
                    <w:rPr>
                      <w:rtl/>
                    </w:rPr>
                    <w:t>146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73" o:spid="_x0000_s1026" type="#_x0000_t202" style="position:absolute;left:0;text-align:left;margin-left:84.35pt;margin-top:635.35pt;width:396pt;height:101.55pt;z-index:3;mso-position-horizontal-relative:page;mso-position-vertical-relative:page" stroked="f">
            <v:textbox style="mso-next-textbox:#_x0000_s50073" inset="0,0,0,0">
              <w:txbxContent>
                <w:p w:rsidR="00E22F67" w:rsidRDefault="00E22F6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באייר התשנ"ט (19 באפריל 1999); הצעת החוק ודברי ההסבר פורסמו בהצעות חוק</w:t>
                  </w:r>
                </w:p>
                <w:p w:rsidR="00E22F67" w:rsidRPr="007D1C30" w:rsidRDefault="00E22F67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2471, מיום י"א בטבת התשנ"ו (3 בינואר 1996), עמ' 346.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74" o:spid="_x0000_s1027" type="#_x0000_t202" style="position:absolute;left:0;text-align:left;margin-left:82.8pt;margin-top:90.85pt;width:467.7pt;height:538.75pt;z-index:2;mso-position-horizontal-relative:page;mso-position-vertical-relative:page" stroked="f">
            <v:textbox style="mso-next-textbox:#_x0000_s500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364"/>
                  </w:tblGrid>
                  <w:tr w:rsidR="00E22F67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הלכות מסחר לא הוגנות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22F67" w:rsidRPr="007D1C3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(א) לא יגרום עוסק לכך שנכס שהוא מוכר או שירות שהוא נותן, ייחשבו בטעות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כנכס או כשירות של עוסק אחר או כנכס או בשירות שיש להם קשר לעוסק אחר.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שימוש של עוסק בשמו בתום לב, לשם מכירת נכס או מתן שירות, לא ייחשב</w:t>
                        </w:r>
                      </w:p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כשלעצמו גניבת עין.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גניבת עין</w:t>
                        </w:r>
                      </w:p>
                    </w:tc>
                  </w:tr>
                  <w:tr w:rsidR="00E22F67" w:rsidRPr="007D1C3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יפרסם עוסק מידע ולא יגרום לפרסום מידע, אשר הוא יודע או שהיה עליו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שהוא אינו נכון, לגבי עסק, מקצוע, נכס או שירות, שלו או של עוסק אחר (להלן -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תיאור כוזב).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המפיץ פרסום של עוסק אחר או מטעמו הכולל תיאור כוזב, או מי שהחליט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על פרסום תיאור כוזב כאמור, לא יישא באחריות לפי סעיף זה, אלא אם כן ידע</w:t>
                        </w:r>
                      </w:p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שהתיאור כוזב, או שהתיאור כוזב על פניו.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תיאור כוזב</w:t>
                        </w:r>
                      </w:p>
                    </w:tc>
                  </w:tr>
                  <w:tr w:rsidR="00E22F67" w:rsidRPr="007D1C3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ימנע ולא יכביד עוסק, באופן לא הוגן, על גישה של לקוחות, עובדים או סוכנים</w:t>
                        </w:r>
                      </w:p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 העסק, הנכס או השירות של עוסק אחר.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התערבות</w:t>
                        </w:r>
                      </w:p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הוגנת</w:t>
                        </w:r>
                      </w:p>
                    </w:tc>
                  </w:tr>
                  <w:tr w:rsidR="00E22F67" w:rsidRPr="007D1C3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החובות בפרק זה יחולו על עוסק, אשר עשה את המעשה האסור על פי פרק זה,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עסקו או בהקשר לעסקו, כלפי עוסק אחר אשר נפגע או ניזוק מהפרת החובה, במהלך</w:t>
                        </w:r>
                      </w:p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או בהקשר לעסקו.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המעוול והנפגע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גזל סוד מסחרי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22F67" w:rsidRPr="007D1C3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בפרק זה -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''בעלים" - לרבות מי שסוד מסחרי נמצא בשליטתו כדין;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''סוד מסחרי'', ''סוד'' - מידע עסקי, מכל סוג, שאינו נחלת הרבים ושאינו ניתן לגילוי כרין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בנקל על ירי אחרים, אשר סודיותו מקנה לבעליו יתרון עסקי על פני מתחריו, ובלבד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שבעליו נוקט אמצעים סבירים לשמור על סודיותו;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''שימוש" - לרבות על ידי העברה לאחר.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E22F67" w:rsidRPr="007D1C30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לא יגזול אדם סוד מסחרי של אחר.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גזל סוד מסחרי הוא אחד מאלה: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נטילת סוד מסחרי ללא הסכמת בעליו באמצעים פסולים, או שימוש בסוד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הנוטל; לענין זה אין נפקא מינה אם הסוד ניטל מבעליו או מאדם אחר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הסוד המסחרי נמצא בידיעתו;</w:t>
                        </w:r>
                      </w:p>
                      <w:p w:rsidR="00E22F67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שימוש בסוד מסחרי ללא הסכמת בעליו כאשר השימוש הוא בניגוד לחיוב</w:t>
                        </w:r>
                      </w:p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חוזי או לחובת אמון המוטלים על המשתמש בלפי בעל הסוד;</w:t>
                        </w:r>
                      </w:p>
                    </w:tc>
                    <w:tc>
                      <w:tcPr>
                        <w:tcW w:w="802" w:type="pct"/>
                      </w:tcPr>
                      <w:p w:rsidR="00E22F67" w:rsidRPr="007D1C30" w:rsidRDefault="00E22F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גזל סוד מסחרי</w:t>
                        </w:r>
                      </w:p>
                    </w:tc>
                  </w:tr>
                </w:tbl>
                <w:p w:rsidR="00E22F67" w:rsidRDefault="00E22F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75" o:spid="_x0000_s1028" type="#_x0000_t202" style="position:absolute;left:0;text-align:left;margin-left:177.65pt;margin-top:61.95pt;width:203.75pt;height:23.95pt;z-index:1;mso-position-horizontal-relative:page;mso-position-vertical-relative:page" stroked="f">
            <v:textbox style="mso-next-textbox:#_x0000_s50075" inset="0,0,0,0">
              <w:txbxContent>
                <w:p w:rsidR="00E22F67" w:rsidRPr="007D1C30" w:rsidRDefault="00E22F67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חוק עוולות מסחריות, התשנ"ט-1999*</w:t>
                  </w:r>
                </w:p>
              </w:txbxContent>
            </v:textbox>
            <w10:wrap anchorx="page" anchory="page"/>
          </v:shape>
        </w:pict>
      </w:r>
    </w:p>
    <w:p w:rsidR="0010685D" w:rsidRDefault="0010685D">
      <w:pPr>
        <w:rPr>
          <w:rtl/>
        </w:rPr>
      </w:pPr>
      <w:r>
        <w:rPr>
          <w:rtl/>
        </w:rPr>
        <w:br w:type="page"/>
      </w:r>
    </w:p>
    <w:p w:rsidR="0010685D" w:rsidRDefault="00000000">
      <w:pPr>
        <w:rPr>
          <w:rtl/>
        </w:rPr>
      </w:pPr>
      <w:r>
        <w:pict>
          <v:shape id="_x0000_s500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076" inset="0,0,0,0">
              <w:txbxContent>
                <w:p w:rsidR="00E22F67" w:rsidRDefault="00E22F67">
                  <w:r>
                    <w:rPr>
                      <w:rtl/>
                    </w:rPr>
                    <w:t>147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77" o:spid="_x0000_s1030" type="#_x0000_t202" style="position:absolute;left:0;text-align:left;margin-left:357.95pt;margin-top:655.2pt;width:190.5pt;height:85.15pt;z-index:6;mso-position-horizontal-relative:page;mso-position-vertical-relative:page" stroked="f">
            <v:textbox style="mso-next-textbox:#_x0000_s50077" inset="0,0,0,0">
              <w:txbxContent>
                <w:p w:rsidR="00E22F67" w:rsidRDefault="00E22F67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י דיני מדינת ישראל, נוסח חדש 10,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78" o:spid="_x0000_s1031" type="#_x0000_t202" style="position:absolute;left:0;text-align:left;margin-left:83.15pt;margin-top:55.45pt;width:471.05pt;height:596.55pt;z-index:5;mso-position-horizontal-relative:page;mso-position-vertical-relative:page" stroked="f">
            <v:textbox style="mso-next-textbox:#_x0000_s5007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0"/>
                    <w:gridCol w:w="7073"/>
                  </w:tblGrid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קבלת סוד מסחרי או שימוש בו ללא הסכמת בעליו, כאשר המקבל או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 יודע או שהדבר גלוי על פניו, בעת הקבלה או השימוש, כי הסוד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 אליו באופן האסור על פי פסקאות (ו) או (2) או כי הסוד הועבר אל אדם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כלשהו באופן אסור כאמור לפני שהגיע אליו.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גילוי סוד מסחרי באמצעות הנדסה חוזרת, לא ייחשב, כשלעצמו, אמצעי פסול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(ב)(1); לענין סעיף קטן זה, ''הנדסה חוזרת' - פירוק או ניתוח של מוצר או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תהליך במטרה לפענח סוד מסחרי, בהילוך חוזר.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לאחריות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לא יהיה אדם אחראי בשל גזל סוד מסחרי, אם התקיים אחד מאלה: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הידע הגלום בסוד המסחרי הגיע אליו במהלך עבודתו אצל בעליו של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הסוד המסחרי וידע זה הפך לחלק מכישוריו המקצועיים הכלליים;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השימוש בסוד המסחרי מוצדק בשל תקנת הציבור.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אדם שימוש בסוד המסחרי כאמור בסעיף קטן (א)(2) וזכה עקב כך בטובת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הנאה, רשאי בית המשפט אם ראה שהדבר מוצדק בנסיבות הענין, לחייב אותו בהשבת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ההנאה, כולה או חלקה, לבעל הסוד.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בתום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ובתמורה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)א( אדם אינו אחראי לפי סעיף 6(ב)(3) בשל שימוש שעשה בסוד מסחרי, אם רכש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וקיבל את הסוד המסחרי בתום לב ובתמורה, אלא אם כן ראה בית המשפט כי לשם עשיית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צדק בין הצדדים, יש להטיל עליו אחריות בשל גזל סוד מסחרי.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הטיל בית המשפט אחריות כאמור בסעיף קטן (א), רשאי הוא לפטור את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לגזל הסוד המסחרי מהסעדים שלהם זכאי בעל הסוד, כולם או חלקם.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דמיון מהותי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יראו כשימוש בסוד מסחרי אף שימוש בסוד שנעשו בו שינויים, ובלבד שמתקיים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דמיון מהותי בין הסוד המסחרי לבין המידע שבו נעשה השימוש.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שימוש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חזקה על הנתבע בי השתמש בסוד המסחרי שבבעלות התובע אם התקיימו שניים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הסוד המסחרי הגיע לידיעתו של הנתבע או שהיתה לו גישה אליו,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המידע שבו משתמש הנתבע דומה דמיון מהותי למידע נושא הסוד המסחרי.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ג': נזיקין וסעדים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עוולה בנזיקין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הפרת הוראה מהוראות פרקים א' ו-ב' היא עוולה בנזיקין, ופקודת הנזיקין [נוסח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 1 (להלן - פקודת הנזיקין) תחול עליה כפוף להוראות חוק זה.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סעדים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הסעדים שבסעיפים 13 עד 21 לא יחולו על עוולות לפי סעיפים 2 ו-3.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בלא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 נזק</w:t>
                        </w:r>
                      </w:p>
                    </w:tc>
                    <w:tc>
                      <w:tcPr>
                        <w:tcW w:w="4130" w:type="pct"/>
                      </w:tcPr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בית המשפט רשאי, על פי בקשת התובע, לפסוק לו, לבל עוולה, פיצויים בלא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הוכחת נזק, בסכום שלא יעלה על 100,000 שקלים חדשים.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יראו עוולות המתבצעות במסכת אחת של מעשים, כעוולה</w:t>
                        </w:r>
                      </w:p>
                      <w:p w:rsidR="00E22F67" w:rsidRDefault="00E22F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</w:t>
                        </w:r>
                      </w:p>
                    </w:tc>
                  </w:tr>
                </w:tbl>
                <w:p w:rsidR="00E22F67" w:rsidRDefault="00E22F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17D10" w:rsidRDefault="00117D10">
      <w:pPr>
        <w:rPr>
          <w:rtl/>
        </w:rPr>
      </w:pPr>
      <w:r>
        <w:rPr>
          <w:rtl/>
        </w:rPr>
        <w:br w:type="page"/>
      </w:r>
    </w:p>
    <w:p w:rsidR="00117D10" w:rsidRDefault="00000000">
      <w:pPr>
        <w:rPr>
          <w:rtl/>
        </w:rPr>
      </w:pPr>
      <w:r>
        <w:pict>
          <v:shape id="_x0000_s5007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0079" inset="0,0,0,0">
              <w:txbxContent>
                <w:p w:rsidR="00E22F67" w:rsidRDefault="00E22F67">
                  <w:r>
                    <w:rPr>
                      <w:rtl/>
                    </w:rPr>
                    <w:t>148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80" o:spid="_x0000_s1033" type="#_x0000_t202" style="position:absolute;left:0;text-align:left;margin-left:83.4pt;margin-top:655.15pt;width:399.15pt;height:80pt;z-index:9;mso-position-horizontal-relative:page;mso-position-vertical-relative:page" stroked="f">
            <v:textbox style="mso-next-textbox:#_x0000_s50080" inset="0,0,0,0">
              <w:txbxContent>
                <w:p w:rsidR="00E22F67" w:rsidRDefault="00E22F67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 ס"ח התשנ"ה, עמ' 366.</w:t>
                  </w:r>
                </w:p>
                <w:p w:rsidR="00E22F67" w:rsidRPr="00117D10" w:rsidRDefault="00E22F67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3 דיני מדינת ישראל, נוסח חדש 12,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81" o:spid="_x0000_s1034" type="#_x0000_t202" style="position:absolute;left:0;text-align:left;margin-left:80.05pt;margin-top:62.95pt;width:475.2pt;height:579.15pt;z-index:8;mso-position-horizontal-relative:page;mso-position-vertical-relative:page" stroked="f">
            <v:textbox style="mso-next-textbox:#_x0000_s5008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393"/>
                  </w:tblGrid>
                  <w:tr w:rsidR="00E22F67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רשאי, באישור ועדת החוקה חוק ומשפט של הכנסת, לשנות בצו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שבסעיף קטן (א).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22F67" w:rsidRPr="00117D10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ניתן צו מניעה לטובת בעליו של סוד מסחרי, זכאי הצד שכנגד לבקש, בכל עת, כי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ייערך עיון מחדש בצו, בטענה שהסוד המסחרי פורסם; ראה בית המשפט כי המבקש הפיק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יתרון לא הוגן מההחזקה בסוד לפני פרסומו, רשאי הוא, כל עוד מתקיים אותו יתרון,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להשאיר את הצו בתוקפו.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מחרש</w:t>
                        </w:r>
                      </w:p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מניעה</w:t>
                        </w:r>
                      </w:p>
                    </w:tc>
                  </w:tr>
                  <w:tr w:rsidR="00E22F67" w:rsidRPr="00117D10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בית המשפט רשאי לחייב את הנתבע, בדרך שנקבעה בתקנות, במתן דין וחשבון</w:t>
                        </w:r>
                      </w:p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 לגבי פרטי העוולה.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חשבונות</w:t>
                        </w:r>
                      </w:p>
                    </w:tc>
                  </w:tr>
                  <w:tr w:rsidR="00E22F67" w:rsidRPr="00117D10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הוכח להנחת דעתו של בית המשפט, בתצהיר או בעדות אחרת, בי קיים חשש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ממש לביצועה של עוולה, רשאי הוא למנות, בצו, כונס נכסים, ולהסמיכו להיכנס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לחצרים המוחזקים על ידי הנתבע או על ידי אדם אחר שאינו הנתבע (להלן - צד שלישי),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חיפוש ותפיסת נכסים אשר הופקו תוך ביצוע העוולה או שימשו לביצועה, או לשם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 ראיות אשר קיים חשש סביר להעלמתן; בחיפוש ובתפיסה לפי פרק זה, של מחשב,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מחשב או פלט, כהגדרתם בחוק המחשבים, התשנ"ה-1995 2, יחולו הוראות סעיפים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 ו-32(ב) לפקודת סדר הדין הפלילי (מעצר וחיפוש) [נוסח חדש], התשכ"ט-1969 3,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המחויבים.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כונס נכסים מוסמך להשתמש בכוח במידה סבירה לשם ביצוע הצו, ובלבד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שהתלווה אליו שוטר; בית המשפט רשאי להורות למשטרת ישראל לסייע לכונס הנכסים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 תפקידו על פי הצו.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הכניסה, החיפוש והתפיסה ייעשו על ידי כונס הנכסים בנוכחות שני עדים-,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הכונס יגיש לבית המשפט, בתוך שבעה ימים מיום הביצוע, דין וחשבון על החיפוש</w:t>
                        </w:r>
                      </w:p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והתפיסה.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נכסים</w:t>
                        </w:r>
                      </w:p>
                    </w:tc>
                  </w:tr>
                  <w:tr w:rsidR="00E22F67" w:rsidRPr="00117D10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הוגשה בקשה למתן צו למינוי כונס נכסים והוכח להנחת דעתו של בית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בתצהיר או בעדות אחרת, כי קיים חשש סביר שהשהיה עד לדיון במעמד שני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עלולה לגרום למבקש הצו נזק חמור או להעלמת הנכסים, רשאי בית המשפט לתת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אף במעמד צד אחר.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במעמד צד אחד, יתקיים דיון במעמד שני הצדדים בהקדם האפשרי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יאוחר מ-7 ימים מיום מתן הצו, אלא אם כן קבע בית המשפט מועד מאוחר יותר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שיירשמו.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זה יכול שיינתן אף בטרם הגשת התובענה; לא הוגשה התובענה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7 ימים מיום נתינתו, יפקע הצו, אלא אם כן קבע בית המשפט מועד מאוחר יותר</w:t>
                        </w:r>
                      </w:p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שיירשמו.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במעמד</w:t>
                        </w:r>
                      </w:p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אחד</w:t>
                        </w:r>
                      </w:p>
                    </w:tc>
                  </w:tr>
                  <w:tr w:rsidR="00E22F67" w:rsidRPr="00117D10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בית המשפט לא ייתן צו זמני לפי פרק זה אלא כפוף להמצאת ערובה מספקת להנחת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לטובת מי שכנגדו ניתן הצו לפי סעיפים 16 או 17, לשם פיצוי בשל כל נזק שייגרם לו</w:t>
                        </w:r>
                      </w:p>
                      <w:p w:rsidR="00E22F67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ממתן הצו, אם תידחה התובענה או אם יפקע הצו מסיבה אחרת, וכן כפוף</w:t>
                        </w:r>
                      </w:p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להמצאת ערבון כאמור בסעיף 19.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22F67" w:rsidRPr="00117D10" w:rsidRDefault="00E22F6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ערובות</w:t>
                        </w:r>
                      </w:p>
                    </w:tc>
                  </w:tr>
                </w:tbl>
                <w:p w:rsidR="00E22F67" w:rsidRDefault="00E22F6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E18D4" w:rsidRDefault="009E18D4">
      <w:pPr>
        <w:rPr>
          <w:rtl/>
        </w:rPr>
      </w:pPr>
      <w:r>
        <w:rPr>
          <w:rtl/>
        </w:rPr>
        <w:br w:type="page"/>
      </w:r>
    </w:p>
    <w:p w:rsidR="009E18D4" w:rsidRDefault="00000000">
      <w:pPr>
        <w:rPr>
          <w:rtl/>
        </w:rPr>
      </w:pPr>
      <w:r>
        <w:pict>
          <v:shape id="_x0000_s5008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0082" inset="0,0,0,0">
              <w:txbxContent>
                <w:p w:rsidR="00E22F67" w:rsidRDefault="00E22F67">
                  <w:r>
                    <w:rPr>
                      <w:rtl/>
                    </w:rPr>
                    <w:t>149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83" o:spid="_x0000_s1036" type="#_x0000_t202" style="position:absolute;left:0;text-align:left;margin-left:354.2pt;margin-top:713.05pt;width:198pt;height:23.95pt;z-index:12;mso-position-horizontal-relative:page;mso-position-vertical-relative:page" stroked="f">
            <v:textbox style="mso-next-textbox:#_x0000_s50083" inset="0,0,0,0">
              <w:txbxContent>
                <w:p w:rsidR="00E22F67" w:rsidRDefault="00E22F6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084" o:spid="_x0000_s1037" type="#_x0000_t202" style="position:absolute;left:0;text-align:left;margin-left:83.75pt;margin-top:62.05pt;width:470.25pt;height:644.5pt;z-index:11;mso-position-horizontal-relative:page;mso-position-vertical-relative:page" stroked="f">
            <v:textbox style="mso-next-textbox:#_x0000_s5008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7051"/>
                  </w:tblGrid>
                  <w:tr w:rsidR="00E22F67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ערבון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ערבון כאמור בסעיף 8 ו יהיה בהפקדת סכום שלא יפחת מ-000, ו שקלים חדשים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יעלה על 25,000 שקלים חדשים, כפי שיקבע בית המשפט; סכום הערבון יופקד במזומן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בערבות בנקאית; בית המשפט רשאי, אם שוכנע שקיימים טעמים מיוחדים לכך, להתנות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מתן הצו במתן ערבון אחר.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לבקשת הנתבע, רשאי בית המשפט, אם שוכנע תוך כדי ההליך המשפטי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מוצדק, להגדיל את סכום הערבון מעבר לסכום האמור בסעיף קטן (א).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נדחתה התובענה או פקע הצו הזמני, יהיה בית המשפט הדן בתובענה רשאי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חילוט הערבון, כולו או מקצתו, לטובת מי שניתן נגדו צו לפי סעיפים 16 או 17,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שבקשת הצו לא היתה סבירה בנסיבות הענין; חילוט הערבון אינו מותנה בגרימת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של ממש למי שהצו ניתן נגדו.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חילוט הערבון אינו גורע מזכותו של מי שהערבון חולט לטובתו להיפרע בשל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נזקיו, באמצעות הערובה שנקבעה לפי סעיף 18 או בהתאם לכל דין, בדרך של הגשת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צד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במתן צו לפי סעיפים 16 או 17, המסמיך כניסה לחצרים המוחזקים בידי צד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שלישי, יתחשב בית המשפט, בין היתר, באפשרות -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שקיימות זכויות של הצד השלישי בנכסים או בראיות שלגביהם מתבקש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וטיבן של זכויות כאמור;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שהצד השלישי שותף לעוולה.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הנכסים או הראיות שלגביהם מתבקש צו לפי סעיפים 16 או 17 מצויים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בחזקתו של צד שלישי, יודיע לו בית המשפט על זכותו להצטרף להליך בתוך המועד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טוען צד שלישי לזכויות בנכסים או בראיות שנתפסו לפי פרק זה, רשאי הוא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להצטרף להליך בתוך 14 ימים מן היום שנודע לו על תפיסתם.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התברר לבית המשפט במהלך דיון כי לצד שלישי עשויות להיות זכויות בנכסים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בראיות שנתפסו לפי פרק זה, יודיע לו בית המשפט על זכותו להצטרף בצד להליך, בתוך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שיקבע; הצירוף יכול שיהיה בכל שלב משלבי המשפט.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הצטרף צד שלישי להליך, יקיים בית המשפט דיון במעמד הצד השלישי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 ולא יאוחר מ-14 ימים מיום קבלת בקשת הצירוף של הצד השלישי.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השמדת נכסים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בית המשפט רשאי להורות, בסיום הדיון בתובענה, על אחד מאלה.-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השמדת נכסים אשר הופקו תוך ביצוע עוולה או אשר שימשו לביצועה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 - הנכסים);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ביקש זאת התובע - על העברת הבעלות בנכסים לידיו, בתמורה לתשלום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 של הנכסים, כערכם אלמלא ביצוע העוולה-,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עשיית כל פעולה אחרת בנכסים.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שונות</w:t>
                        </w:r>
                      </w:p>
                    </w:tc>
                  </w:tr>
                  <w:tr w:rsidR="00E22F67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 הדין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לבית דין אזורי לעבודה תהא סמכות ייחודית לדון -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בתובענה בין עובד לבית מעביד או חליפו, שעילתה בהפרת הוראה</w:t>
                        </w:r>
                      </w:p>
                      <w:p w:rsidR="00E22F67" w:rsidRDefault="00E22F6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פרק בי. והנובעת מיחסי עובד ומעביד;</w:t>
                        </w:r>
                      </w:p>
                    </w:tc>
                  </w:tr>
                </w:tbl>
                <w:p w:rsidR="00E22F67" w:rsidRDefault="00E22F6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7307F" w:rsidRDefault="00D7307F">
      <w:pPr>
        <w:rPr>
          <w:rtl/>
        </w:rPr>
      </w:pPr>
      <w:r>
        <w:rPr>
          <w:rtl/>
        </w:rPr>
        <w:br w:type="page"/>
      </w:r>
    </w:p>
    <w:p w:rsidR="00D7307F" w:rsidRDefault="00000000">
      <w:pPr>
        <w:rPr>
          <w:rtl/>
        </w:rPr>
      </w:pPr>
      <w:r>
        <w:pict>
          <v:shape id="_x0000_s5008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0085" inset="0,0,0,0">
              <w:txbxContent>
                <w:p w:rsidR="00E22F67" w:rsidRDefault="00E22F67">
                  <w:r>
                    <w:rPr>
                      <w:rtl/>
                    </w:rPr>
                    <w:t>150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86" o:spid="_x0000_s1039" type="#_x0000_t202" style="position:absolute;left:0;text-align:left;margin-left:87.55pt;margin-top:620.55pt;width:400.15pt;height:118pt;z-index:15;mso-position-horizontal-relative:page;mso-position-vertical-relative:page" stroked="f">
            <v:textbox style="mso-next-textbox:#_x0000_s50086" inset="0,0,0,0">
              <w:txbxContent>
                <w:p w:rsidR="00E22F67" w:rsidRDefault="00E22F67">
                  <w:pPr>
                    <w:pStyle w:val="OCRStyle5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4 ס"ח התשמ"ח, עמ' 128.</w:t>
                  </w:r>
                </w:p>
                <w:p w:rsidR="00E22F67" w:rsidRPr="00D7307F" w:rsidRDefault="00E22F67">
                  <w:pPr>
                    <w:pStyle w:val="OCRStyle5"/>
                    <w:ind w:left="356"/>
                  </w:pPr>
                  <w:r>
                    <w:rPr>
                      <w:rtl/>
                    </w:rPr>
                    <w:t>5 ס"ח התשמ"ד, עמ' 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87" o:spid="_x0000_s1040" type="#_x0000_t202" style="position:absolute;left:0;text-align:left;margin-left:88.55pt;margin-top:67.95pt;width:466.9pt;height:546.1pt;z-index:14;mso-position-horizontal-relative:page;mso-position-vertical-relative:page" stroked="f">
            <v:textbox style="mso-next-textbox:#_x0000_s500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355"/>
                  </w:tblGrid>
                  <w:tr w:rsidR="00E22F67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בתובענה שעילתה בהפרת הוראה מהוראות פרק ב/ הנובעת מחוזה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ליצירת יחסי עובד ומעביד, לפני שנוצרו יחסי עובד ומעביד או לאחר שנסתיימו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יחסים כאמור.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בתובענות שבית דין לעבודה דן בהן לפי סעיף זה תהיה לשופט לבדו סמכות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צו מניעה זמני וכן סעדים לפי סעיפים 5ו עד 20.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22F67" w:rsidRPr="00D7307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בית המשפט רשאי. מיוזמתו או על פי בקשה, לתת צו להבטיח בי סוד מסחרי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דין או של אדם אחר שהתגלה בהליך משפטי לא יפורסם.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רשאי, לבקשת ארם, לתת צו בהליך משפטי, ברבר דרכי הגשת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שיש בהן סוד מסחרי.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בהליך משפטי בענין אזרחי, רשאי בית המשפט, לבקשת אדם, לתת צו בדבר אי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ראיות שיש בהן סוד מסחרי, ובלבד שראה כי הענין שיש באי גילוי הראיה עדיף מן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 לגלות את הראיה לשם עשיית צדק, וכי במתן הצו לפי סעיפים קטנים (א) ו-(ב) אין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להגן על הסוד המסחרי.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'בית משפט' - לרבות בית דין, רשות, גוף או אדם, בעלי סמכויות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שיפוטיות או מעין שיפוטיות לפי כל דין.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גילוי סוד</w:t>
                        </w:r>
                      </w:p>
                      <w:p w:rsidR="00E22F67" w:rsidRPr="00D7307F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מסחרי</w:t>
                        </w:r>
                      </w:p>
                    </w:tc>
                  </w:tr>
                  <w:tr w:rsidR="00E22F67" w:rsidRPr="00D7307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אין בהוראות חוק זה כדי לגרוע מהוראות חוק ההגבלים העסקיים, התשמ'ח- 1988 4,</w:t>
                        </w:r>
                      </w:p>
                      <w:p w:rsidR="00E22F67" w:rsidRPr="00D7307F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מהוראות כל דין אחר.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2F67" w:rsidRPr="00D7307F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E22F67" w:rsidRPr="00D7307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שר המשפטים ממונה על ביצוע חוק זה והוא רשאי, באישור ועדת החוקה חוק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להתקין תקנות לביצועו, ובמיוחד בדבר הסדרת פעולות כונס הנכסים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זה, לרבות -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בדבר מתן דין וחשבון לפי סעיף 15;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הגשת הבקשה לצו כינוס נכסים;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בדבר הצטרפות צד שלישי;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כללים לביצוע חיפוש ותפיסה של נכסים;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אופן רישום נכסים שנתפסו;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אופן הטיפול בנכסים שנתפסו ומקום שמירתם;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כללים לביצוע הוראת בית משפט בדבר השמדת נכסים-,</w:t>
                        </w:r>
                      </w:p>
                      <w:p w:rsidR="00E22F67" w:rsidRPr="00D7307F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כללים לשמירת הסודיות באשר לממצאי חיפוש.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2F67" w:rsidRPr="00D7307F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E22F67" w:rsidRPr="00D7307F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בחוק בתי המשפט [נוסח משולב], התשמ'ד-1984 5, בסעיף 68(ב) אחרי פסקה (7)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יבוא.-</w:t>
                        </w:r>
                      </w:p>
                      <w:p w:rsidR="00E22F67" w:rsidRPr="00D7307F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'(8) לשם הגנה על סוד מסחרי.'</w:t>
                        </w:r>
                      </w:p>
                    </w:tc>
                    <w:tc>
                      <w:tcPr>
                        <w:tcW w:w="798" w:type="pct"/>
                      </w:tcPr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22F67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 -</w:t>
                        </w:r>
                      </w:p>
                      <w:p w:rsidR="00E22F67" w:rsidRPr="00D7307F" w:rsidRDefault="00E22F6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26</w:t>
                        </w:r>
                      </w:p>
                    </w:tc>
                  </w:tr>
                </w:tbl>
                <w:p w:rsidR="00E22F67" w:rsidRDefault="00E22F6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22F67" w:rsidRDefault="00E22F67">
      <w:pPr>
        <w:rPr>
          <w:rtl/>
        </w:rPr>
      </w:pPr>
      <w:r>
        <w:rPr>
          <w:rtl/>
        </w:rPr>
        <w:br w:type="page"/>
      </w:r>
    </w:p>
    <w:p w:rsidR="00E22F67" w:rsidRDefault="00000000">
      <w:pPr>
        <w:rPr>
          <w:rtl/>
        </w:rPr>
      </w:pPr>
      <w:r>
        <w:pict>
          <v:shape id="_x0000_s50088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0088" inset="0,0,0,0">
              <w:txbxContent>
                <w:p w:rsidR="00E22F67" w:rsidRDefault="00E22F67">
                  <w:r>
                    <w:rPr>
                      <w:rtl/>
                    </w:rPr>
                    <w:t>151                                         ספר החוקים 1709                  י"ג באייר התשנ"ט 29.04.1999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89" o:spid="_x0000_s1042" type="#_x0000_t202" style="position:absolute;left:0;text-align:left;margin-left:179.7pt;margin-top:345.9pt;width:376.2pt;height:60.2pt;z-index:22;mso-position-horizontal-relative:page;mso-position-vertical-relative:page" stroked="f">
            <v:textbox style="mso-next-textbox:#_x0000_s50089" inset="0,0,0,0">
              <w:txbxContent>
                <w:p w:rsidR="00E22F67" w:rsidRPr="00E22F67" w:rsidRDefault="00E22F67">
                  <w:pPr>
                    <w:pStyle w:val="OCRStyle6"/>
                    <w:ind w:left="151"/>
                  </w:pPr>
                  <w:r>
                    <w:rPr>
                      <w:rtl/>
                    </w:rPr>
                    <w:t>* ס''ח התשמ'א, עמ' 240.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0" o:spid="_x0000_s1043" type="#_x0000_t202" style="position:absolute;left:0;text-align:left;margin-left:303.45pt;margin-top:302.35pt;width:89.9pt;height:31.1pt;z-index:21;mso-position-horizontal-relative:page;mso-position-vertical-relative:page" stroked="f">
            <v:textbox style="mso-next-textbox:#_x0000_s50090" inset="0,0,0,0">
              <w:txbxContent>
                <w:p w:rsidR="00E22F67" w:rsidRDefault="00E22F67">
                  <w:pPr>
                    <w:pStyle w:val="OCRStyle6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22F67" w:rsidRDefault="00E22F67">
                  <w:pPr>
                    <w:pStyle w:val="OCRStyle6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1" o:spid="_x0000_s1044" type="#_x0000_t202" style="position:absolute;left:0;text-align:left;margin-left:205.25pt;margin-top:270.85pt;width:78.4pt;height:31.3pt;z-index:20;mso-position-horizontal-relative:page;mso-position-vertical-relative:page" stroked="f">
            <v:textbox style="mso-next-textbox:#_x0000_s50091" inset="0,0,0,0">
              <w:txbxContent>
                <w:p w:rsidR="00E22F67" w:rsidRDefault="00E22F67">
                  <w:pPr>
                    <w:pStyle w:val="OCRStyle6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E22F67" w:rsidRDefault="00E22F67">
                  <w:pPr>
                    <w:pStyle w:val="OCRStyle6"/>
                    <w:ind w:left="17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2" o:spid="_x0000_s1045" type="#_x0000_t202" style="position:absolute;left:0;text-align:left;margin-left:391pt;margin-top:274pt;width:79.2pt;height:28.1pt;z-index:19;mso-position-horizontal-relative:page;mso-position-vertical-relative:page" stroked="f">
            <v:textbox style="mso-next-textbox:#_x0000_s50092" inset="0,0,0,0">
              <w:txbxContent>
                <w:p w:rsidR="00E22F67" w:rsidRDefault="00E22F67">
                  <w:pPr>
                    <w:pStyle w:val="OCRStyle6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22F67" w:rsidRDefault="00E22F67">
                  <w:pPr>
                    <w:pStyle w:val="OCRStyle6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3" o:spid="_x0000_s1046" type="#_x0000_t202" style="position:absolute;left:0;text-align:left;margin-left:472.55pt;margin-top:301.35pt;width:71.1pt;height:33.05pt;z-index:18;mso-position-horizontal-relative:page;mso-position-vertical-relative:page" stroked="f">
            <v:textbox style="mso-next-textbox:#_x0000_s50093" inset="0,0,0,0">
              <w:txbxContent>
                <w:p w:rsidR="00E22F67" w:rsidRDefault="00E22F67">
                  <w:pPr>
                    <w:pStyle w:val="OCRStyle6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22F67" w:rsidRDefault="00E22F67">
                  <w:pPr>
                    <w:pStyle w:val="OCRStyle6"/>
                    <w:ind w:left="12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4" o:spid="_x0000_s1047" type="#_x0000_t202" style="position:absolute;left:0;text-align:left;margin-left:93.2pt;margin-top:60.35pt;width:466.9pt;height:207.9pt;z-index:17;mso-position-horizontal-relative:page;mso-position-vertical-relative:page" stroked="f">
            <v:textbox style="mso-next-textbox:#_x0000_s500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2"/>
                    <w:gridCol w:w="7128"/>
                  </w:tblGrid>
                  <w:tr w:rsidR="00E22F67" w:rsidRPr="00E22F67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הצרכן -</w:t>
                        </w:r>
                      </w:p>
                      <w:p w:rsidR="00E22F67" w:rsidRP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מסי' 8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בחוק הגנת הצרכן, התשמ'א-1981 6-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2(א), אחרי פסקה (19) יבוא: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'(20) היות מקורו של הנכס הנמכר בפשיטת רגל. בכינוס נכסים או בפירוק של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חברה.';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31, אחרי סעיף קטן (א) יבוא-.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הזכות לסעדים בשל עוולה כאמור נתונה לערכן שנפגע מהעוולה, וכן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לעוסק שנפגע, במהלך עסקו, מהטעיה כאמור בסעיף 2.</w:t>
                        </w:r>
                      </w:p>
                      <w:p w:rsidR="00E22F67" w:rsidRP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פרק ו'1 לא יחול על עוסק שנפגע מעוולה כאמור במהלך עסקו.'</w:t>
                        </w:r>
                      </w:p>
                    </w:tc>
                  </w:tr>
                  <w:tr w:rsidR="00E22F67" w:rsidRPr="00E22F67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תיקץ פקודת</w:t>
                        </w:r>
                      </w:p>
                      <w:p w:rsid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 -</w:t>
                        </w:r>
                      </w:p>
                      <w:p w:rsidR="00E22F67" w:rsidRP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מס'8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E22F67" w:rsidRP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בפקודת הנזיקין [נוסח חדש], סעיף 59 - בטל.</w:t>
                        </w:r>
                      </w:p>
                    </w:tc>
                  </w:tr>
                  <w:tr w:rsidR="00E22F67" w:rsidRPr="00E22F67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E22F67" w:rsidRP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E22F67" w:rsidRPr="00E22F67" w:rsidRDefault="00E22F6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תחילתו של חוק זה שישה חורשים מיום פרסומו.</w:t>
                        </w:r>
                      </w:p>
                    </w:tc>
                  </w:tr>
                </w:tbl>
                <w:p w:rsidR="00E22F67" w:rsidRDefault="00E22F6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D1C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FE8730-A33F-4368-99CD-06F2E4D3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1C3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0685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17D1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E18D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7307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22F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2008-04-07T10:51:00Z</dcterms:created>
  <dcterms:modified xsi:type="dcterms:W3CDTF">2008-04-07T10:51:00Z</dcterms:modified>
</cp:coreProperties>
</file>