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0BD3" w:rsidRDefault="00390BD3">
      <w:pPr>
        <w:rPr>
          <w:rtl/>
        </w:rPr>
      </w:pPr>
    </w:p>
    <w:p w:rsidR="00390B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15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0153" inset="0,0,0,0">
              <w:txbxContent>
                <w:p w:rsidR="0049017E" w:rsidRDefault="0049017E">
                  <w:r>
                    <w:rPr>
                      <w:rtl/>
                    </w:rPr>
                    <w:t>170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4" o:spid="_x0000_s1026" type="#_x0000_t202" style="position:absolute;left:0;text-align:left;margin-left:84.6pt;margin-top:712.1pt;width:198.8pt;height:32.1pt;z-index:4;mso-position-horizontal-relative:page;mso-position-vertical-relative:page" stroked="f">
            <v:textbox style="mso-next-textbox:#_x0000_s50154" inset="0,0,0,0">
              <w:txbxContent>
                <w:p w:rsidR="0049017E" w:rsidRDefault="004901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55" o:spid="_x0000_s1027" type="#_x0000_t202" style="position:absolute;left:0;text-align:left;margin-left:84.6pt;margin-top:594.9pt;width:388.65pt;height:61.95pt;z-index:3;mso-position-horizontal-relative:page;mso-position-vertical-relative:page" stroked="f">
            <v:textbox style="mso-next-textbox:#_x0000_s50155" inset="0,0,0,0">
              <w:txbxContent>
                <w:p w:rsidR="0049017E" w:rsidRDefault="0049017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התשנ"ט (19 באפריל 1999); הצעת החוק ודברי ההסבר פורסמו בהצעות חוק</w:t>
                  </w:r>
                </w:p>
                <w:p w:rsidR="0049017E" w:rsidRDefault="0049017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2779, מיום כ' בטבת התשנ-ט (21 בדצמבר 1998), עמ' 214.</w:t>
                  </w:r>
                </w:p>
                <w:p w:rsidR="0049017E" w:rsidRDefault="0049017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ס"ח התשנ"ג, עמ/ .116</w:t>
                  </w:r>
                </w:p>
                <w:p w:rsidR="0049017E" w:rsidRPr="00390BD3" w:rsidRDefault="0049017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ס"ח התשמ"ד,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6" o:spid="_x0000_s1028" type="#_x0000_t202" style="position:absolute;left:0;text-align:left;margin-left:86.2pt;margin-top:100.65pt;width:457.2pt;height:491.05pt;z-index:2;mso-position-horizontal-relative:page;mso-position-vertical-relative:page" stroked="f">
            <v:textbox style="mso-next-textbox:#_x0000_s501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165"/>
                  </w:tblGrid>
                  <w:tr w:rsidR="0049017E" w:rsidRPr="00390BD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9017E" w:rsidRDefault="0049017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'בית עסק' - מקום שבו נמכרים מכלי משקה-,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'הממונה" - עובד המדינה שמינה השר בהתאם להוראות סעיף 9;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''יבואן- - מי שמייבא מכלי משקה מלאים למעט יבוא לשימוש עצמי;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מי שעוסק בייצור מכלי משקה מלאים במשקה, או במילוי במשקה של מכלי משקה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ריקים, בין בעצמו ובין על ידי אחרים;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"מכל משקה" - כלי קיבול שמשווקים בו משקה, בין שהוא מלא ובין שהוא ריק, העשוי מכל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חומר, למעט -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שקיות-,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מכלי משקה העשויים בעיקרם מנייר או מקרטון;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מכלי משקה שקיבולתם מתחת ל-ו.0 ליטר או שקיבולתם 1.5 ליטרים או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'מיחזור' - כהגדרתו בחוק איסוף ופינוי פסולת למיחזור, התשנ'ג-1993 1;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'צרכן- - אדם הקונה או האוסף מכלי משקה שלא למטרת עסק;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-קרן" - הקרן לשמירת הנקיון שהוקמה לפי סעיף 10 לחוק שמירת הנקיון, התשמ-ד-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21984;</w:t>
                        </w:r>
                      </w:p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לאיכות הסביבה.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9017E" w:rsidRPr="00390BD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כל מכל משקה המלא במשקה (להלן - מכל משקה מלא) ישולם פיקדון, לפי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הפיקדון יהיה 25 אגורות לכל מכל משקה מלא, אלא אם כן קבע השר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אחר.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יצרן או יבואן רשאי להחליט, כי לגבי מכל משקה מלא שהוא מייצר או משווק,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הפיקדון יהיה גבוה מהסכום הנקוב בסעיף קטן (ב) או מהסכום שקבע השר לפי</w:t>
                        </w:r>
                      </w:p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פיקדון</w:t>
                        </w:r>
                      </w:p>
                    </w:tc>
                  </w:tr>
                  <w:tr w:rsidR="0049017E" w:rsidRPr="00390BD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ייצר יצרן ולא ישווק יבואן מכלי משקה החייבים בפיקדון, אלא אם כן מוטבעים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או מודפסים עליהם או על תווית שעליהם, בצורה הנראית לעין, המילים "חייב</w:t>
                        </w:r>
                      </w:p>
                      <w:p w:rsidR="0049017E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בפיקדון- וכן, סמוך להם, סכום הפיקדון, והכל באופן שאינו ניתן להסרה או למחיקה</w:t>
                        </w:r>
                      </w:p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 סביר (להלן - מכל משקה מסומן).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9017E" w:rsidRPr="00390BD3" w:rsidRDefault="0049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סימון</w:t>
                        </w:r>
                      </w:p>
                    </w:tc>
                  </w:tr>
                </w:tbl>
                <w:p w:rsidR="0049017E" w:rsidRDefault="004901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57" o:spid="_x0000_s1029" type="#_x0000_t202" style="position:absolute;left:0;text-align:left;margin-left:156.5pt;margin-top:71.75pt;width:252.45pt;height:23.15pt;z-index:1;mso-position-horizontal-relative:page;mso-position-vertical-relative:page" stroked="f">
            <v:textbox style="mso-next-textbox:#_x0000_s50157" inset="0,0,0,0">
              <w:txbxContent>
                <w:p w:rsidR="0049017E" w:rsidRPr="00390BD3" w:rsidRDefault="0049017E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הפיקדון על מכלי משקה, התשנ"ט-1999*</w:t>
                  </w:r>
                </w:p>
              </w:txbxContent>
            </v:textbox>
            <w10:wrap anchorx="page" anchory="page"/>
          </v:shape>
        </w:pict>
      </w:r>
    </w:p>
    <w:p w:rsidR="007D2BB3" w:rsidRDefault="007D2BB3">
      <w:pPr>
        <w:rPr>
          <w:rtl/>
        </w:rPr>
      </w:pPr>
      <w:r>
        <w:rPr>
          <w:rtl/>
        </w:rPr>
        <w:br w:type="page"/>
      </w:r>
    </w:p>
    <w:p w:rsidR="007D2BB3" w:rsidRDefault="00000000">
      <w:pPr>
        <w:rPr>
          <w:rtl/>
        </w:rPr>
      </w:pPr>
      <w:r>
        <w:pict>
          <v:shape id="_x0000_s5015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158" inset="0,0,0,0">
              <w:txbxContent>
                <w:p w:rsidR="0049017E" w:rsidRDefault="0049017E">
                  <w:r>
                    <w:rPr>
                      <w:rtl/>
                    </w:rPr>
                    <w:t>171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9" o:spid="_x0000_s1031" type="#_x0000_t202" style="position:absolute;left:0;text-align:left;margin-left:347.05pt;margin-top:720.6pt;width:193.85pt;height:22.2pt;z-index:7;mso-position-horizontal-relative:page;mso-position-vertical-relative:page" stroked="f">
            <v:textbox style="mso-next-textbox:#_x0000_s50159" inset="0,0,0,0">
              <w:txbxContent>
                <w:p w:rsidR="0049017E" w:rsidRDefault="004901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160" o:spid="_x0000_s1032" type="#_x0000_t202" style="position:absolute;left:0;text-align:left;margin-left:93.8pt;margin-top:68pt;width:447.9pt;height:609.65pt;z-index:6;mso-position-horizontal-relative:page;mso-position-vertical-relative:page" stroked="f">
            <v:textbox style="mso-next-textbox:#_x0000_s5016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87"/>
                  </w:tblGrid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פיקדון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יצרן, יבואן ובית עסק יגבו פיקדון בשל כל מכל משקה מלא שהם מוכרים.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עסק המוכר לצרכן משקה לצריכה בתחומי בית העסק, אינו חייב לגבות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פיקדון.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פיקדון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הרוכש מכל משקה מלא ישלם פיקדון ליצרן, ליבואן או לבית העסק, שממנו רכש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מכל המשקה-, תשלום הפיקדון ייעשה בעת התשלום בעד מכל המשקה.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פיקדון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צרכן שיש בידיו מכל משקה ריק מסומן, רשאי להחזירו לבית עסק שבו מוכרים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מכלי משקה מלאים מאותו סוג.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עסק כאמור בסעיף קטן (א) חייב לקבל מכל משקה ריק מסומן שמוסר לו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צרכן, ולשלם לו את דמי הפיקדון בעדו.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 -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עסק ששטח רצפתו פחות מ-28 מ"ר, אינו חייב לקבל מכל משקה ריק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מסומן ולשלם את דמי הפיקדון בעדו;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עסק כאמור בסעיף 4(ב) אינו חייב לקבל מצרכן מכל משקה ריק מסומן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ולשלם לו את דמי הפיקדון בעדו, אם מכל המשקה לא נרכש באותו בית העסק,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בית העסק לא גבה בעדו פיקדון בהתאם להוראות אותו סעיף.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פיקדון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עסק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בית עסק שיש בידיו מכלי משקה ריקים מסומנים רשאי להחזירם לבית עסק,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ליצרן או ליבואן, שמהם רכש מכלי משקה מלאים מאותו סוג.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עסק, יצרן ויבואן חייבים לקבל מכלי משקה ריקים מסומנים שמוסר להם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עסק לפי הוראות סעיף קטן (א), ולשלם לו את דמי הפיקדון בעדם.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סכומי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פיקדון לקרן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יצרן ויבואן יעבירו לקרן את ההפרשים שבין סכומי הפיקדונות שגבו בהתאם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4(א), לבין סכומי הפיקדונות שהחזירו בהתאם להוראות סעיף 7 (להלן -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ההפרשים), במועדים ובדרכים שקבע השר בהסכמת שר האוצר.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יצרן או יבואן על סכום פיקדון בהתאם להוראות סעיף 2(ג), יחושבו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ההפרשים לפי סעיף קטן (א), כאילו הפיקדון שגבה או שהחזיר בשל כל מכל משקה, היה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בסעיף 2(ב) או הסכום שקבע השר.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קבע השר מועדים ודרכים להעברת ההפרשים לקרן לפי סעיף קטן (א),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ההפרשים לקרן במועד מסירת הדוח בהתאם להוראות סעיף 0ו(א).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ממונה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ימנה מבין עובדי המדינה שבמשרדו, ממונה לצורך קביעת הסכומים המגיעים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לפי הוראות חוק זה, לרבות הטלת העיצומים הכספיים, וגבייתם.</w:t>
                        </w:r>
                      </w:p>
                    </w:tc>
                  </w:tr>
                  <w:tr w:rsidR="0049017E" w:rsidRPr="007D2BB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הממונה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יצרן או יבואן ידווח לממונה, אחת לשישה חודשים, על מספר מכלי המשקה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המלאים שמכר ושבעדם היה עליו לגבות פיקדון.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יצרן או יבואן דוח כאמור בסעיף קטן (א), או שמסר דוח, אך לממונה יש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להניח שהדוח אינו נכון, רשאי הממונה, לאחר שנתן ליצרן או ליבואן</w:t>
                        </w:r>
                      </w:p>
                      <w:p w:rsidR="0049017E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טענותיו, לקבוע בהחלטה מנומקת את הסכומים שעל היצרן או</w:t>
                        </w:r>
                      </w:p>
                      <w:p w:rsidR="0049017E" w:rsidRPr="007D2BB3" w:rsidRDefault="0049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היבואן להעביר לקרן.</w:t>
                        </w:r>
                      </w:p>
                    </w:tc>
                  </w:tr>
                </w:tbl>
                <w:p w:rsidR="0049017E" w:rsidRDefault="004901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1B5A" w:rsidRDefault="00801B5A">
      <w:pPr>
        <w:rPr>
          <w:rtl/>
        </w:rPr>
      </w:pPr>
      <w:r>
        <w:rPr>
          <w:rtl/>
        </w:rPr>
        <w:br w:type="page"/>
      </w:r>
    </w:p>
    <w:p w:rsidR="00801B5A" w:rsidRDefault="00000000">
      <w:pPr>
        <w:rPr>
          <w:rtl/>
        </w:rPr>
      </w:pPr>
      <w:r>
        <w:pict>
          <v:shape id="_x0000_s50161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0161" inset="0,0,0,0">
              <w:txbxContent>
                <w:p w:rsidR="0049017E" w:rsidRDefault="0049017E">
                  <w:r>
                    <w:rPr>
                      <w:rtl/>
                    </w:rPr>
                    <w:t>172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62" o:spid="_x0000_s1034" type="#_x0000_t202" style="position:absolute;left:0;text-align:left;margin-left:94.05pt;margin-top:714.55pt;width:197.2pt;height:30.5pt;z-index:11;mso-position-horizontal-relative:page;mso-position-vertical-relative:page" stroked="f">
            <v:textbox style="mso-next-textbox:#_x0000_s50162" inset="0,0,0,0">
              <w:txbxContent>
                <w:p w:rsidR="0049017E" w:rsidRDefault="004901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163" o:spid="_x0000_s1035" type="#_x0000_t202" style="position:absolute;left:0;text-align:left;margin-left:306.15pt;margin-top:608.25pt;width:174.85pt;height:51.9pt;z-index:10;mso-position-horizontal-relative:page;mso-position-vertical-relative:page" stroked="f">
            <v:textbox style="mso-next-textbox:#_x0000_s50163" inset="0,0,0,0">
              <w:txbxContent>
                <w:p w:rsidR="0049017E" w:rsidRDefault="0049017E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3 ס"ח התשל"ז, עמ' 226.</w:t>
                  </w:r>
                </w:p>
                <w:p w:rsidR="0049017E" w:rsidRDefault="0049017E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4 ס"ח התשכא, עמ' 192.</w:t>
                  </w:r>
                </w:p>
                <w:p w:rsidR="0049017E" w:rsidRPr="00801B5A" w:rsidRDefault="0049017E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* חוקי א''י, כרך ב', עמ' (ע) 1374, (א) .1399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64" o:spid="_x0000_s1036" type="#_x0000_t202" style="position:absolute;left:0;text-align:left;margin-left:94.05pt;margin-top:64.55pt;width:459.55pt;height:539.55pt;z-index:9;mso-position-horizontal-relative:page;mso-position-vertical-relative:page" stroked="f">
            <v:textbox style="mso-next-textbox:#_x0000_s501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260"/>
                  </w:tblGrid>
                  <w:tr w:rsidR="0049017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עובדי הקרן והממונה, לא יגלו ידיעה או נתון שנמסרו להם לפי חוק זה, אלא אם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הדבר דרוש לצורך ביצוע חוק זה או לפי דרישת בית משפט.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קביעת הממונה לפי חוק זה יחולו הוראות סעיף 16, בשינויים המחויבים.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היה לממונה יסוד סביר להניח כי אדם עשה אחד מאלה, רשאי הוא להטיל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עיצום כספי בסכום שהוא פי ארבעה מסכום הפיקדון שהיה עליו לגבות או להחזיר, או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ההפרשים שהיה עליו להעביר לקרן: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גבה פיקדון בשל מכל משקה מלא לפי הוראות סעיף 4;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קיבל מכל משקה ריק או לא החזיר פיקדון בשל מכל כאמור לפי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6 ו-7;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העביר הפרשים לקרן לפי הוראות סעיף 8.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לממונה יסוד סביר להניח כי אדם עשה אחד מאלה, רשאי הוא להטיל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עיצום כספי בסכום הקנס הקבוע בסעיף 61(א)(2) לחוק העונשין, התשל-ז-1977 3 )להלן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חוק העונשין):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סימן מכלי משקה החייבים בפיקדון לפי הוראות סעיף 3;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דיווח לממונה לפי הוראות סעיף 10 או לא העביר לקרן סכומים כפי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הממונה לפי הוראות הסעיף האמור.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רשאי להטיל על תאגיד כפל העיצום הכספי שנקבע לפי סעיף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עיצום כספי</w:t>
                        </w: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עיצום כספי ישולם לפי דרישת הממונה בכתב בתוך 30 ימים מיום קבלתה; הדרישה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 לאחר שהממונה יודיע למי שאליו נוערה הדרישה על הכוונה להוציאה וניתנה לו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לטעון את טענותיו.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העיצום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 ותשלומו</w:t>
                        </w: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העיצום הכספי לפי סעיף 11(ב) יהיה לפי סכומו המעודכן ביום הדרישה לתשלומו;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ערעור ובית המשפט הדן בערעור הורה על עיכוב תשלומו - לפי סכומו המעודכן ביום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ההחלטה בערעור.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שיעור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העיצום הכספי</w:t>
                        </w: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לא שולם העיצום הכספי במועד, ייתוספו עליו הפרשי הצמדה וריבית לפי חוק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 והצמדה, התשכ"א 1961 4 (להלן - הפרשי הצמדה וריבית) עד לתשלומו.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</w:t>
                        </w: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על גביית סכומים ועיצום כספי לקרן תחול פקודת המסים (גביה)5.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פקודת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</w:t>
                        </w:r>
                      </w:p>
                    </w:tc>
                  </w:tr>
                  <w:tr w:rsidR="0049017E" w:rsidRPr="00801B5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9017E" w:rsidRDefault="0049017E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16. (א) על דרישה לתשלום עיצום כספי ניתן לערער בפני בית משפט שלום.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בתוך 30 ימים מהיום שהורע על הטלת העיצום הכספי.</w:t>
                        </w:r>
                      </w:p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בערעור כדי לעכב תשלום העיצום הכספי אלא אם כן הורה הממונה או בית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9017E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49017E" w:rsidRPr="00801B5A" w:rsidRDefault="004901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עיצום כספי</w:t>
                        </w:r>
                      </w:p>
                    </w:tc>
                  </w:tr>
                </w:tbl>
                <w:p w:rsidR="0049017E" w:rsidRDefault="004901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66AE4" w:rsidRDefault="00C66AE4">
      <w:pPr>
        <w:rPr>
          <w:rtl/>
        </w:rPr>
      </w:pPr>
      <w:r>
        <w:rPr>
          <w:rtl/>
        </w:rPr>
        <w:br w:type="page"/>
      </w:r>
    </w:p>
    <w:p w:rsidR="00C66AE4" w:rsidRDefault="00000000">
      <w:pPr>
        <w:rPr>
          <w:rtl/>
        </w:rPr>
      </w:pPr>
      <w:r>
        <w:pict>
          <v:shape id="_x0000_s50165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0165" inset="0,0,0,0">
              <w:txbxContent>
                <w:p w:rsidR="0049017E" w:rsidRDefault="0049017E">
                  <w:r>
                    <w:rPr>
                      <w:rtl/>
                    </w:rPr>
                    <w:t>173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66" o:spid="_x0000_s1038" type="#_x0000_t202" style="position:absolute;left:0;text-align:left;margin-left:352.8pt;margin-top:721.4pt;width:197.2pt;height:18pt;z-index:14;mso-position-horizontal-relative:page;mso-position-vertical-relative:page" stroked="f">
            <v:textbox style="mso-next-textbox:#_x0000_s50166" inset="0,0,0,0">
              <w:txbxContent>
                <w:p w:rsidR="0049017E" w:rsidRDefault="004901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167" o:spid="_x0000_s1039" type="#_x0000_t202" style="position:absolute;left:0;text-align:left;margin-left:88.05pt;margin-top:62.05pt;width:455.4pt;height:593.2pt;z-index:13;mso-position-horizontal-relative:page;mso-position-vertical-relative:page" stroked="f">
            <v:textbox style="mso-next-textbox:#_x0000_s501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944"/>
                  </w:tblGrid>
                  <w:tr w:rsidR="0049017E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התקבל הערעור, יוחזר העיצום הכספי בתוספת הפרשי הצמדה וריבית מיום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ועד יום החזרתו.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החלטת בית המשפט בערעור ניתן לערער ברשות, ובית המשפט ידון בערעור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בשופט אחד.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אין בהוראות סעיף  11  כדי לגרוע מסמכותו של תובע להגיש כתב אישום כאמור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18, אם הוא סבור שהנסיבות מצדיקות זאת מטעמים שיירשמו.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נגד אדם כתב אישום על עבירה לפי סעיף 18, לא יחויב בשלה בתשלום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עיצום כספי, ואם שילם, יוחזר לו סכום העיצום בתוספת הפרשי הצמדה וריבית, מיום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ועד יום החזרתו.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העושה אחד מאלה, דינו - קנס כאמור בסעיף 61(א(3) לחוק העונשין, ואם העבירה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על ידי תאגיד - כפל הקנס האמור: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סימן מכלי משקה החייבים בפיקדון לפי הוראות סעיף 5;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גבה פיקדון בשל מכל משקה מלא לפי הוראות סעיף 4;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קיבל מכל משקה ריק או לא החזיר פיקדון בשל מכל כאמור לפי הוראות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 ו-7;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העביר הפרשים לקרן לפי הוראות סעיף 8;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דיווח לממונה לפי הוראות סעיף 10 או לא העביר לקרן סכומים כפי שקבע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לפי הוראות אותו סעיף-,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פעל בניגוד להוראות שנקבעו לפי סעיף 22.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נושא משרה בתאגיד חייב לפקח ולעשות כל שניתן למניעת עבירות לפי סעיף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על ידי התאגיד או על ידי עובד מעובדיו; המפר הוראה זו, דינו - קנס כאמור בסעיף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61(א)(2) לחוק העונשין; לענין סעיף זה, 'נושא משרה" - מנהל פעיל בתאגיד, שותף, למעט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מוגבל, או פקיד האחראי מטעם התאגיד על התחום שבו בוצעה העבירה.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18 על ידי תאגיד או על ידי עובד מעובדיו, חזקה היא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נושא משרה בתאגיד הפר את חובתו לפי סעיף קטן (א), אלא אם כן הוכיח כי עשה כל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כדי למלא את חובתו.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בקנס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ובעיצום כספי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קנס או עיצום כספי שהוטל לפי חוק זה יועבר לקרן.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בכספים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המתקבלים בקרן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הכספים שיועברו לקרן לפי הוראות חוק זה יתנהלו בחשבון נפרד, וישמשו לעידוד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המיחזור של מכלי משקה וכן לכל מטרה אחרת שתקדם את ביצועו של חוק זה או את אכיפת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הוראותיו, הכל כפי שיקבע השר, בהמלצת הקרן, ובאישור ועדת הכלכלה של הכנסת.</w:t>
                        </w:r>
                      </w:p>
                    </w:tc>
                  </w:tr>
                  <w:tr w:rsidR="0049017E" w:rsidRPr="00C66AE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במכלי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משקה ריקים -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הוראות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השר רשאי, בתקנות, להטיל על יצרן, יבואן או בית עסק, חובה לאסוף, לסלק או</w:t>
                        </w:r>
                      </w:p>
                      <w:p w:rsidR="0049017E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למחזר מכלי משקה ריקים שהגיעו לידיהם לפי הוראות חוק זה, ובלבד שתקנות שענינן</w:t>
                        </w:r>
                      </w:p>
                      <w:p w:rsidR="0049017E" w:rsidRPr="00C66AE4" w:rsidRDefault="004901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חוזר במכלי משקה יותקנו בהסכמת שר הבריאות.</w:t>
                        </w:r>
                      </w:p>
                    </w:tc>
                  </w:tr>
                </w:tbl>
                <w:p w:rsidR="0049017E" w:rsidRDefault="004901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9017E" w:rsidRDefault="0049017E">
      <w:pPr>
        <w:rPr>
          <w:rtl/>
        </w:rPr>
      </w:pPr>
      <w:r>
        <w:rPr>
          <w:rtl/>
        </w:rPr>
        <w:br w:type="page"/>
      </w:r>
    </w:p>
    <w:p w:rsidR="0049017E" w:rsidRDefault="00000000">
      <w:pPr>
        <w:rPr>
          <w:rtl/>
        </w:rPr>
      </w:pPr>
      <w:r>
        <w:pict>
          <v:shape id="_x0000_s50168" o:spid="_x0000_s1040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0168" inset="0,0,0,0">
              <w:txbxContent>
                <w:p w:rsidR="0049017E" w:rsidRDefault="0049017E">
                  <w:r>
                    <w:rPr>
                      <w:rtl/>
                    </w:rPr>
                    <w:t>174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69" o:spid="_x0000_s1041" type="#_x0000_t202" style="position:absolute;left:0;text-align:left;margin-left:97.15pt;margin-top:528.3pt;width:453.6pt;height:55.25pt;z-index:22;mso-position-horizontal-relative:page;mso-position-vertical-relative:page" stroked="f">
            <v:textbox style="mso-next-textbox:#_x0000_s50169" inset="0,0,0,0">
              <w:txbxContent>
                <w:p w:rsidR="0049017E" w:rsidRDefault="0049017E">
                  <w:pPr>
                    <w:pStyle w:val="OCRStyle5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חוק התקציב לשנת הכספים 1999, התשנ"ט-1999, פורסם בספר חוקי תקציב 128, מיום י"ז באייר</w:t>
                  </w:r>
                </w:p>
                <w:p w:rsidR="0049017E" w:rsidRDefault="0049017E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התשנ''ט (3 במאי 1999). חלקו המילולי של החוק, ריכוזי התוספות ותחזית התקבולים מובאים לשם מידע</w:t>
                  </w:r>
                </w:p>
                <w:p w:rsidR="0049017E" w:rsidRDefault="0049017E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בלבד: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0" o:spid="_x0000_s1042" type="#_x0000_t202" style="position:absolute;left:0;text-align:left;margin-left:187.85pt;margin-top:507.5pt;width:279.75pt;height:20.6pt;z-index:21;mso-position-horizontal-relative:page;mso-position-vertical-relative:page" stroked="f">
            <v:textbox style="mso-next-textbox:#_x0000_s50170" inset="0,0,0,0">
              <w:txbxContent>
                <w:p w:rsidR="0049017E" w:rsidRPr="0049017E" w:rsidRDefault="0049017E">
                  <w:pPr>
                    <w:pStyle w:val="OCRStyle5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הודעה בדבר פרסום חוק התקציב לשנת הכספים 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1" o:spid="_x0000_s1043" type="#_x0000_t202" style="position:absolute;left:0;text-align:left;margin-left:106.1pt;margin-top:415.25pt;width:102.35pt;height:29.7pt;z-index:20;mso-position-horizontal-relative:page;mso-position-vertical-relative:page" stroked="f">
            <v:textbox style="mso-next-textbox:#_x0000_s50171" inset="0,0,0,0">
              <w:txbxContent>
                <w:p w:rsidR="0049017E" w:rsidRDefault="0049017E">
                  <w:pPr>
                    <w:pStyle w:val="OCRStyle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49017E" w:rsidRDefault="0049017E">
                  <w:pPr>
                    <w:pStyle w:val="OCRStyle5"/>
                    <w:ind w:left="50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2" o:spid="_x0000_s1044" type="#_x0000_t202" style="position:absolute;left:0;text-align:left;margin-left:214.2pt;margin-top:438.2pt;width:88.3pt;height:29.7pt;z-index:19;mso-position-horizontal-relative:page;mso-position-vertical-relative:page" stroked="f">
            <v:textbox style="mso-next-textbox:#_x0000_s50172" inset="0,0,0,0">
              <w:txbxContent>
                <w:p w:rsidR="0049017E" w:rsidRDefault="0049017E">
                  <w:pPr>
                    <w:pStyle w:val="OCRStyle5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9017E" w:rsidRDefault="0049017E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3" o:spid="_x0000_s1045" type="#_x0000_t202" style="position:absolute;left:0;text-align:left;margin-left:381.7pt;margin-top:440pt;width:67.7pt;height:34.65pt;z-index:18;mso-position-horizontal-relative:page;mso-position-vertical-relative:page" stroked="f">
            <v:textbox style="mso-next-textbox:#_x0000_s50173" inset="0,0,0,0">
              <w:txbxContent>
                <w:p w:rsidR="0049017E" w:rsidRDefault="0049017E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9017E" w:rsidRDefault="0049017E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4" o:spid="_x0000_s1046" type="#_x0000_t202" style="position:absolute;left:0;text-align:left;margin-left:305.05pt;margin-top:413.65pt;width:77.4pt;height:26.15pt;z-index:17;mso-position-horizontal-relative:page;mso-position-vertical-relative:page" stroked="f">
            <v:textbox style="mso-next-textbox:#_x0000_s50174" inset="0,0,0,0">
              <w:txbxContent>
                <w:p w:rsidR="0049017E" w:rsidRDefault="0049017E">
                  <w:pPr>
                    <w:pStyle w:val="OCRStyle5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9017E" w:rsidRDefault="0049017E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5" o:spid="_x0000_s1047" type="#_x0000_t202" style="position:absolute;left:0;text-align:left;margin-left:98.75pt;margin-top:67.95pt;width:451.25pt;height:343.15pt;z-index:16;mso-position-horizontal-relative:page;mso-position-vertical-relative:page" stroked="f">
            <v:textbox style="mso-next-textbox:#_x0000_s501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5"/>
                    <w:gridCol w:w="1140"/>
                  </w:tblGrid>
                  <w:tr w:rsidR="0049017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בהסכמת שר הפנים, רשאי, בתקנות, להטיל חובות על רשות מקומית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איסוף וסילוק מכלי משקה ריקים.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9017E" w:rsidRPr="0049017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השר ממונה על ביצוע חוק זה והוא רשאי להתקין תקנות בכל ענין הנוגע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-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סכומי פיקדון שונים למכלים שונים, ויכול שסכומי הפיקדון ייקבעו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לאפשרות למחזר את מכלי המשקה;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עדכון סכומי הפיקדון;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נוסח הסימון האמור בסעיף 3, וכן הגודל ואופן הסימון;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נסיבות נוספות על אלה המנויות בסעיף 6(ג), שבהן בית עסק אינו חייב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פיקדון;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דרכים למסירת דיווח בהתאם להוראות סעיף 0ו(א), וכן שינוי תקופת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הדיווח שנקבעה באותו סעיף.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טעונות אישור ועדת הכלכלה של הכנסת.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9017E" w:rsidRPr="0049017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תקנות ראשונות לפי סעיפים 22 ו- 23(א)(5) יובאו לאישור ועדת הכלכלה של הכנסת,</w:t>
                        </w:r>
                      </w:p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תשעה חודשים מיום פרסומו של חוק זה.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49017E" w:rsidRPr="0049017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תחילתו של חוק זה ביום כ"ו באדר ב' התש"ס (2 באפריל 2000).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הכלכלה של הכנסת, רשאי לדחות את מועד תחילתו של</w:t>
                        </w:r>
                      </w:p>
                      <w:p w:rsid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עד ליום כ"ח בתמוז התש"ס (31 ביולי 2000).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49017E" w:rsidRPr="0049017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חוק זה יפורסם ברשומות בתוך 45 ימים מיום קבלתו.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9017E" w:rsidRPr="0049017E" w:rsidRDefault="004901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9017E" w:rsidRDefault="0049017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90B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10D34E-775B-4CF3-BF82-84ED3438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0B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2BB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01B5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66AE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901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2008-04-07T10:53:00Z</dcterms:created>
  <dcterms:modified xsi:type="dcterms:W3CDTF">2008-04-07T10:53:00Z</dcterms:modified>
</cp:coreProperties>
</file>