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69EB" w:rsidRDefault="00A169EB">
      <w:pPr>
        <w:rPr>
          <w:rtl/>
        </w:rPr>
      </w:pPr>
    </w:p>
    <w:p w:rsidR="00A169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546" inset="0,0,0,0">
              <w:txbxContent>
                <w:p w:rsidR="00A169EB" w:rsidRDefault="00A169EB">
                  <w:r>
                    <w:rPr>
                      <w:rtl/>
                    </w:rPr>
                    <w:t>246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7" o:spid="_x0000_s1026" type="#_x0000_t202" style="position:absolute;left:0;text-align:left;margin-left:95.65pt;margin-top:311.15pt;width:381.55pt;height:60.2pt;z-index:7;mso-position-horizontal-relative:page;mso-position-vertical-relative:page" stroked="f">
            <v:textbox style="mso-next-textbox:#_x0000_s50547" inset="0,0,0,0">
              <w:txbxContent>
                <w:p w:rsidR="00A169EB" w:rsidRDefault="00A169EB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י-ט בתמוז התשנ"ד (28 ביוני 1994); הצעת החוק ודברי הסבר פורסמו בהצעות חוק 2210,</w:t>
                  </w:r>
                </w:p>
                <w:p w:rsidR="00A169EB" w:rsidRDefault="00A169E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מיום ג' בחשון התשנ'ד (8ו באוקטובר 1993), עמ' 10.</w:t>
                  </w:r>
                </w:p>
                <w:p w:rsidR="00A169EB" w:rsidRDefault="00A169EB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ס"ח התשכ''ח, עמ' 108; התשנ"ד, עמ' 147</w:t>
                  </w:r>
                </w:p>
                <w:p w:rsidR="00A169EB" w:rsidRDefault="00A169EB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ס-ח התשמ'ו, עמ' 208.</w:t>
                  </w:r>
                </w:p>
                <w:p w:rsidR="00A169EB" w:rsidRPr="00A169EB" w:rsidRDefault="00A169EB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3 ס"ח התשנ-ד, עמ' 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8" o:spid="_x0000_s1027" type="#_x0000_t202" style="position:absolute;left:0;text-align:left;margin-left:255.85pt;margin-top:270.55pt;width:74.05pt;height:31.9pt;z-index:6;mso-position-horizontal-relative:page;mso-position-vertical-relative:page" stroked="f">
            <v:textbox style="mso-next-textbox:#_x0000_s50548" inset="0,0,0,0">
              <w:txbxContent>
                <w:p w:rsidR="00A169EB" w:rsidRDefault="00A169EB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169EB" w:rsidRDefault="00A169EB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9" o:spid="_x0000_s1028" type="#_x0000_t202" style="position:absolute;left:0;text-align:left;margin-left:98.45pt;margin-top:230.95pt;width:153.05pt;height:39.6pt;z-index:5;mso-position-horizontal-relative:page;mso-position-vertical-relative:page" stroked="f">
            <v:textbox style="mso-next-textbox:#_x0000_s50549" inset="0,0,0,0">
              <w:txbxContent>
                <w:p w:rsidR="00A169EB" w:rsidRDefault="00A169EB">
                  <w:pPr>
                    <w:pStyle w:val="OCRStyle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A169EB" w:rsidRDefault="00A169EB">
                  <w:pPr>
                    <w:pStyle w:val="OCRStyle1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שר התיירות</w:t>
                  </w:r>
                </w:p>
                <w:p w:rsidR="00A169EB" w:rsidRDefault="00A169EB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ממלא מקום 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0" o:spid="_x0000_s1029" type="#_x0000_t202" style="position:absolute;left:0;text-align:left;margin-left:397pt;margin-top:269.75pt;width:77.6pt;height:31.9pt;z-index:4;mso-position-horizontal-relative:page;mso-position-vertical-relative:page" stroked="f">
            <v:textbox style="mso-next-textbox:#_x0000_s50550" inset="0,0,0,0">
              <w:txbxContent>
                <w:p w:rsidR="00A169EB" w:rsidRDefault="00A169E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169EB" w:rsidRDefault="00A169EB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1" o:spid="_x0000_s1030" type="#_x0000_t202" style="position:absolute;left:0;text-align:left;margin-left:335.05pt;margin-top:229.35pt;width:67.1pt;height:31.9pt;z-index:3;mso-position-horizontal-relative:page;mso-position-vertical-relative:page" stroked="f">
            <v:textbox style="mso-next-textbox:#_x0000_s50551" inset="0,0,0,0">
              <w:txbxContent>
                <w:p w:rsidR="00A169EB" w:rsidRDefault="00A169E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169EB" w:rsidRDefault="00A169EB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2" o:spid="_x0000_s1031" type="#_x0000_t202" style="position:absolute;left:0;text-align:left;margin-left:94.85pt;margin-top:92.35pt;width:464.1pt;height:135.25pt;z-index:2;mso-position-horizontal-relative:page;mso-position-vertical-relative:page" stroked="f">
            <v:textbox style="mso-next-textbox:#_x0000_s505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00"/>
                  </w:tblGrid>
                  <w:tr w:rsidR="00A169EB" w:rsidRPr="00A169E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169EB" w:rsidRDefault="00A169E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התשכ'ח-1968 1 (להלן - החוק העיקרי), בסעיף 174,</w:t>
                        </w:r>
                      </w:p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'בסעיף 173(1)'' יבוא ''בסעיף 173(0 ו-(2)".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</w:tr>
                  <w:tr w:rsidR="00A169EB" w:rsidRPr="00A169E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פעולה של פקיד גביה לפי סעיף 174 לחוק העיקרי, שנעשתה לאחר תחילתו של חוק</w:t>
                        </w:r>
                      </w:p>
                      <w:p w:rsid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(תיקון מס' 63), התשמ"ו-1986 2, יראו אותה כאילו חוק זה היה בתוקפו אותה</w:t>
                        </w:r>
                      </w:p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</w:tr>
                  <w:tr w:rsidR="00A169EB" w:rsidRPr="00A169EB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הביטוח הלאומי (תיקון מס' 83), התשנ"ד-31994, בסעיף 101ב לחוק העיקרי</w:t>
                        </w:r>
                      </w:p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המובא בו, המלים "של פרט 2'' - יימחקו.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  <w:p w:rsidR="00A169EB" w:rsidRPr="00A169EB" w:rsidRDefault="00A1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83)</w:t>
                        </w:r>
                      </w:p>
                    </w:tc>
                  </w:tr>
                </w:tbl>
                <w:p w:rsidR="00A169EB" w:rsidRDefault="00A1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53" o:spid="_x0000_s1032" type="#_x0000_t202" style="position:absolute;left:0;text-align:left;margin-left:149.1pt;margin-top:61.45pt;width:279pt;height:27.5pt;z-index:1;mso-position-horizontal-relative:page;mso-position-vertical-relative:page" stroked="f">
            <v:textbox style="mso-next-textbox:#_x0000_s50553" inset="0,0,0,0">
              <w:txbxContent>
                <w:p w:rsidR="00A169EB" w:rsidRPr="00A169EB" w:rsidRDefault="00A169EB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88),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69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26550E-56DE-41F3-B1C9-C14B5D6F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69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