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D28D4" w:rsidRDefault="009D28D4">
      <w:pPr>
        <w:rPr>
          <w:rtl/>
        </w:rPr>
      </w:pPr>
    </w:p>
    <w:p w:rsidR="009D28D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833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50833" inset="0,0,0,0">
              <w:txbxContent>
                <w:p w:rsidR="00033EA9" w:rsidRDefault="00033EA9">
                  <w:r>
                    <w:rPr>
                      <w:rtl/>
                    </w:rPr>
                    <w:t>10                                          ספר החוקים 1290                   ט' בכסליו התש"נ 07.12.1989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34" o:spid="_x0000_s1026" type="#_x0000_t202" style="position:absolute;left:0;text-align:left;margin-left:98pt;margin-top:722.8pt;width:152.05pt;height:22.95pt;z-index:4;mso-wrap-style:none;mso-position-horizontal-relative:page;mso-position-vertical-relative:page" stroked="f">
            <v:textbox style="mso-next-textbox:#_x0000_s50834" inset="0,0,0,0">
              <w:txbxContent>
                <w:p w:rsidR="00033EA9" w:rsidRDefault="00033EA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835" o:spid="_x0000_s1027" type="#_x0000_t202" style="position:absolute;left:0;text-align:left;margin-left:92.85pt;margin-top:670.75pt;width:380.35pt;height:46.75pt;z-index:3;mso-wrap-style:none;mso-position-horizontal-relative:page;mso-position-vertical-relative:page" stroked="f">
            <v:textbox style="mso-next-textbox:#_x0000_s50835" inset="0,0,0,0">
              <w:txbxContent>
                <w:p w:rsidR="00033EA9" w:rsidRDefault="00033EA9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בחשון התש"ן (28 בנובמבר 1989):  הצעת החוק ודברי הסבר פורסמו בהצעות חוק 1947, מיום א'</w:t>
                  </w:r>
                </w:p>
                <w:p w:rsidR="00033EA9" w:rsidRDefault="00033EA9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באב התשמ"ט (2 באוגוסט 1989), עמ' 146,</w:t>
                  </w:r>
                </w:p>
                <w:p w:rsidR="00033EA9" w:rsidRDefault="00033EA9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1 ס"ח התשל"ז, עמ' 226: התשמ"ט, עמ' 80.</w:t>
                  </w:r>
                </w:p>
                <w:p w:rsidR="00033EA9" w:rsidRPr="009D28D4" w:rsidRDefault="00033EA9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י- ס"ח התשכ''ב. עבי' 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36" o:spid="_x0000_s1028" type="#_x0000_t202" style="position:absolute;left:0;text-align:left;margin-left:89.7pt;margin-top:101.7pt;width:457.4pt;height:566.85pt;z-index:2;mso-wrap-style:none;mso-position-horizontal-relative:page;mso-position-vertical-relative:page" stroked="f">
            <v:textbox style="mso-next-textbox:#_x0000_s50836" inset="0,0,0,0">
              <w:txbxContent>
                <w:tbl>
                  <w:tblPr>
                    <w:tblW w:w="48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1"/>
                    <w:gridCol w:w="1256"/>
                    <w:gridCol w:w="1191"/>
                  </w:tblGrid>
                  <w:tr w:rsidR="00033EA9" w:rsidRPr="009D28D4">
                    <w:trPr>
                      <w:jc w:val="right"/>
                    </w:trPr>
                    <w:tc>
                      <w:tcPr>
                        <w:tcW w:w="4284" w:type="pct"/>
                        <w:gridSpan w:val="2"/>
                      </w:tcPr>
                      <w:p w:rsidR="00033EA9" w:rsidRPr="009D28D4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במקום סעיף 323 לחוק העונשין, התשל"ז-1977 1 ( להלן - החוק העיקרי), יבוא:</w:t>
                        </w:r>
                      </w:p>
                    </w:tc>
                    <w:tc>
                      <w:tcPr>
                        <w:tcW w:w="716" w:type="pct"/>
                      </w:tcPr>
                      <w:p w:rsidR="00033EA9" w:rsidRPr="009D28D4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323</w:t>
                        </w:r>
                      </w:p>
                    </w:tc>
                  </w:tr>
                  <w:tr w:rsidR="00033EA9">
                    <w:trPr>
                      <w:jc w:val="right"/>
                    </w:trPr>
                    <w:tc>
                      <w:tcPr>
                        <w:tcW w:w="3529" w:type="pct"/>
                      </w:tcPr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323. הורה או מי שעליו האחריות לקטין בן ביתו שלא מלאו לו שמונה עשרה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שנים, חובה עליו לספק לו את צרכי מחייתו, לדאוג לבריאותו ולמנוע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התעללות בו או חבלה בגופו, ויראוהו כמי שגרם לתוצאות שבאו על חייו או על</w:t>
                        </w:r>
                      </w:p>
                      <w:p w:rsidR="00033EA9" w:rsidRPr="009D28D4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בריאותו של הקטין מחמת שלא קיים את חובתו האמורה."</w:t>
                        </w:r>
                      </w:p>
                    </w:tc>
                    <w:tc>
                      <w:tcPr>
                        <w:tcW w:w="755" w:type="pct"/>
                      </w:tcPr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?חובת הורה</w:t>
                        </w:r>
                      </w:p>
                      <w:p w:rsidR="00033EA9" w:rsidRPr="009D28D4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אחראי לקטין</w:t>
                        </w:r>
                      </w:p>
                    </w:tc>
                    <w:tc>
                      <w:tcPr>
                        <w:tcW w:w="716" w:type="pct"/>
                      </w:tcPr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33EA9" w:rsidRPr="009D28D4">
                    <w:trPr>
                      <w:jc w:val="right"/>
                    </w:trPr>
                    <w:tc>
                      <w:tcPr>
                        <w:tcW w:w="4284" w:type="pct"/>
                        <w:gridSpan w:val="2"/>
                      </w:tcPr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337 לחוק העיקרי -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כמקום כותרת השוליים יבוא: "הפרת חובה של הורה או אחראי";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בגוף הסעיף, אחרי "לדאוג לבריאותו" יבוא "ולמנוע התעללות בו או חבלה</w:t>
                        </w:r>
                      </w:p>
                      <w:p w:rsidR="00033EA9" w:rsidRPr="009D28D4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כגופו".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033EA9" w:rsidRPr="009D28D4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337</w:t>
                        </w:r>
                      </w:p>
                    </w:tc>
                  </w:tr>
                  <w:tr w:rsidR="00033EA9" w:rsidRPr="009D28D4">
                    <w:trPr>
                      <w:jc w:val="right"/>
                    </w:trPr>
                    <w:tc>
                      <w:tcPr>
                        <w:tcW w:w="4284" w:type="pct"/>
                        <w:gridSpan w:val="2"/>
                      </w:tcPr>
                      <w:p w:rsidR="00033EA9" w:rsidRPr="009D28D4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בפרק י' לחוק העיקרי, אחרי סימן ו' יבוא:</w:t>
                        </w:r>
                      </w:p>
                    </w:tc>
                    <w:tc>
                      <w:tcPr>
                        <w:tcW w:w="716" w:type="pct"/>
                        <w:vMerge w:val="restart"/>
                      </w:tcPr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סימן</w:t>
                        </w:r>
                      </w:p>
                      <w:p w:rsidR="00033EA9" w:rsidRPr="009D28D4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 1 בפרק י'</w:t>
                        </w:r>
                      </w:p>
                    </w:tc>
                  </w:tr>
                  <w:tr w:rsidR="00033EA9">
                    <w:trPr>
                      <w:jc w:val="right"/>
                    </w:trPr>
                    <w:tc>
                      <w:tcPr>
                        <w:tcW w:w="3529" w:type="pct"/>
                      </w:tcPr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-ו' 1: פגיעה בקטינים ובחסרי ישע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368א. בסימן זה -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"אחראי על קטין או חסר ישע" - כל אחד מאלה: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הורה או מי שעליו האחריות לצרכי מחייתו, לבריאותו, לחינוכו או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לשלומו של קטין או של חסר ישע - מכוח דין, החלטה שיפוטית, חוזה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מפורש או מכללא, או מי שעליו האחריות כאמור לקטין או לחסר ישע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מעשה כשר או אסור שלו-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בן משפחה של קטין או של חסר ישע, שמלאו לו שמונה עשרה שנים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ואיננו חסר ישע, והוא אחד מאלה: בן זוגו של הורו, סבו או סבתו,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צאצאו, אחיו או אחותו, גיסו או גיסתו, דודו או דודתו; י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שהקטין או חסר הישע מתגורר עמו או נמצא עמו דרך קבע,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ומלאו לו שמונה עשרה שנים- ובלבד שקיימים ביניהם יחסי תלות או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מרות.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"חסר ישע" - מי שמחמת גילו; מחלתו או מוגבלותו הגופנית או הנפשית,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ייקויו השכלי או מכל סיבה אחרת, אינו יכול לדאוג לצרכי מחייתו,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לבריאותו או לשלומו;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''מעשה" - לרבות מחדל;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"פקיד סעד" - מי שמונה לכך לפי חוק ;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"קטין" - כהגדרתו בחוק הכשרות המשפטית והאפוטרופסות, התשכ'יב-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21962.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033EA9" w:rsidRPr="009D28D4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716" w:type="pct"/>
                        <w:vMerge/>
                      </w:tcPr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33EA9">
                    <w:trPr>
                      <w:jc w:val="right"/>
                    </w:trPr>
                    <w:tc>
                      <w:tcPr>
                        <w:tcW w:w="3529" w:type="pct"/>
                      </w:tcPr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368ב. (א) התוקף קטין או חסר ישע וגורם לו חבלה של ממש, דינו - מאסר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שנים; היה התוקף אחראי על הקטין או על חסר הישע, דינו - מאסר שבע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שנים.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עבירה לפי סעיף קטן (א) ונגרמה לקטין או לחסר הישע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חבלה חמורה, דינו של התוקף - מאסר שבע שנים, ואם היה התוקף אחראי על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הקטין או חסר הישע, דינו - מאסר תשע שנים.</w:t>
                        </w:r>
                      </w:p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"חבלה" - בין גופנית בין נפשית.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תקיפת קטין</w:t>
                        </w:r>
                      </w:p>
                      <w:p w:rsidR="00033EA9" w:rsidRPr="009D28D4" w:rsidRDefault="00033E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חסר -"'ע</w:t>
                        </w:r>
                      </w:p>
                    </w:tc>
                    <w:tc>
                      <w:tcPr>
                        <w:tcW w:w="716" w:type="pct"/>
                      </w:tcPr>
                      <w:p w:rsidR="00033EA9" w:rsidRDefault="00033EA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33EA9" w:rsidRDefault="00033EA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837" o:spid="_x0000_s1029" type="#_x0000_t202" style="position:absolute;left:0;text-align:left;margin-left:177.2pt;margin-top:72.55pt;width:236.6pt;height:24.95pt;z-index:1;mso-wrap-style:none;mso-position-horizontal-relative:page;mso-position-vertical-relative:page" stroked="f">
            <v:textbox style="mso-next-textbox:#_x0000_s50837" inset="0,0,0,0">
              <w:txbxContent>
                <w:p w:rsidR="00033EA9" w:rsidRPr="009D28D4" w:rsidRDefault="00033EA9">
                  <w:pPr>
                    <w:pStyle w:val="OCRStyle1"/>
                    <w:ind w:left="28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העונשין (תיקון מס' 26), התש"ן-1989 *</w:t>
                  </w:r>
                </w:p>
              </w:txbxContent>
            </v:textbox>
            <w10:wrap anchorx="page" anchory="page"/>
          </v:shape>
        </w:pict>
      </w:r>
    </w:p>
    <w:p w:rsidR="006954C8" w:rsidRDefault="006954C8">
      <w:pPr>
        <w:rPr>
          <w:rtl/>
        </w:rPr>
      </w:pPr>
      <w:r>
        <w:rPr>
          <w:rtl/>
        </w:rPr>
        <w:br w:type="page"/>
      </w:r>
    </w:p>
    <w:p w:rsidR="006954C8" w:rsidRDefault="00000000">
      <w:pPr>
        <w:rPr>
          <w:rtl/>
        </w:rPr>
      </w:pPr>
      <w:r>
        <w:pict>
          <v:shape id="_x0000_s50838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0838" inset="0,0,0,0">
              <w:txbxContent>
                <w:p w:rsidR="00033EA9" w:rsidRDefault="00033EA9">
                  <w:r>
                    <w:rPr>
                      <w:rtl/>
                    </w:rPr>
                    <w:t>11                                          ספר החוקים 1290                   ט' בכסליו התש"נ 07.12.1989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39" o:spid="_x0000_s1031" type="#_x0000_t202" style="position:absolute;left:0;text-align:left;margin-left:388.1pt;margin-top:668.55pt;width:161.75pt;height:79.2pt;z-index:7;mso-wrap-style:none;mso-position-horizontal-relative:page;mso-position-vertical-relative:page" stroked="f">
            <v:textbox style="mso-next-textbox:#_x0000_s50839" inset="0,0,0,0">
              <w:txbxContent>
                <w:p w:rsidR="00033EA9" w:rsidRDefault="00033EA9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1 ס"ח התש"ך, עמ' 52. התשל"ד, עמ' 83</w:t>
                  </w:r>
                </w:p>
                <w:p w:rsidR="00033EA9" w:rsidRPr="006954C8" w:rsidRDefault="00033EA9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4 דיני מדינת ישראל נוסח חדש 18, עמ' 421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40" o:spid="_x0000_s1032" type="#_x0000_t202" style="position:absolute;left:0;text-align:left;margin-left:99.45pt;margin-top:77.55pt;width:457.6pt;height:569.05pt;z-index:6;mso-wrap-style:none;mso-position-horizontal-relative:page;mso-position-vertical-relative:page" stroked="f">
            <v:textbox style="mso-next-textbox:#_x0000_s50840" inset="0,0,0,0">
              <w:txbxContent>
                <w:tbl>
                  <w:tblPr>
                    <w:tblW w:w="488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8"/>
                    <w:gridCol w:w="5767"/>
                    <w:gridCol w:w="1325"/>
                  </w:tblGrid>
                  <w:tr w:rsidR="00033EA9" w:rsidRPr="006954C8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6" w:type="pct"/>
                      </w:tcPr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368ג. העושה בקטין או בחסר ישע מעשה התעללות גופנית, נפשית או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מינית, דינו - מאסר שבע שנים: היה העושה אחראי על קטין או חסר ישע, דינו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מאסר תשע שנים.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התעללות בקטין</w:t>
                        </w:r>
                      </w:p>
                      <w:p w:rsidR="00033EA9" w:rsidRPr="006954C8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בחסר ישע</w:t>
                        </w:r>
                      </w:p>
                    </w:tc>
                  </w:tr>
                  <w:tr w:rsidR="00033EA9" w:rsidRPr="006954C8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6" w:type="pct"/>
                      </w:tcPr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368ד. (א) היה לאדם יסוד סביר לחשוב בי זה מקרוב נעברה עבירה בקטין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בחסר ישע בידי האחראי עליו, חובה על האדם לדווח על כך בהקדם האפשרי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סעד או למשטרה; העובר על הוראה זו, דינו - מאסר שלושה חדשים.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רופא, אחות, עובד חינוך, עובד סוציאלי, עובד שירותי רווחה,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שוטר, פסיכולוג, קרימינולוג או עוסק במקצוע פרה-רפואי, וכן מנהל או איש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צוות במעון או במוסד שבו נמצא קטין או חסר ישע - שעקב עיסוקם במקצועם 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בתפקידם היה להם יסוד סביר לחשוב כי נעברה עבירה בקטין או חסר ישע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אחראי עליו - חובה עליהם לדווח על כך בהקדם האפשרי לפקיד סעד או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למשטרה: העובר על הוראה זו, דינו - מאסר ששה חדשים.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לאחראי על קטין או חסר ישע יסוד סביר לחשוב כי אחראי אחר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קטין או חסר ישע עבר בו עבירה, חובה עליו לדווח על כך בהקדם האפשרי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סער או למשטרה: העובר על הוראה זו, דינו - מאסר ששה חדשים.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נעכרה כקטין או כחסר ישע הנמצא במעון, במוסד או במסגרת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חינוכית או טיפולית אחרת, עבירת מין לפי סעיפים 345 עד 348, או עבירה של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גרימת חבלה חמורה לפי סעיף 368ב (ב) או עבירת התעללות לפי סעיף 368ג,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על מנהל או איש צוות במקום כאמור, לדווח על כך בהקדם האפשרי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סעד או למשטרה ": העובר על הוראה זו, דינו - מאסר שישה חדשים.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חובת דיווח לפי סעיף זה לא תחול על קטין.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פקיד סעד שקיבל דיווח לפי סעיף זה יעבירנו למשטרה בצירוף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המלצתו לפעול או להימנע מלפעול בקשר לדיווח, אלא אם כן קיבל אישור שלא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 את הדייוח למשטרה מאת אחת הועדות שהקים שר המשפטים לענין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זה: חברי ועדה כאמור יהיו נציג פרקליט מחוז והוא יהיה היושב-ראש, קצין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משטרה בדרגת רב פקד ומעלה ופקיד סעד מחוזי.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הגיע למשטרה מידע לפי סעיף זה, תעביר אותו לפקיד סעד, ולא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תפעל לפני שתיוועץ בפקיד הסעד.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בסעיף זה, למעט בסעיף קטן (ד), "עבירה" - עבירה של סיכון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החיים והבריאות לפי סעיף 337, עבירת מין לפי סעיפים 345 עד 348, עבירה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נטישה או הזנחה לפי סעיפים 361 ו-362 ועבירה של תקיפה או התעללות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368ב ו-368ג.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033EA9" w:rsidRPr="006954C8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ד-יוח</w:t>
                        </w:r>
                      </w:p>
                    </w:tc>
                  </w:tr>
                  <w:tr w:rsidR="00033EA9" w:rsidRPr="006954C8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6" w:type="pct"/>
                      </w:tcPr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368ה. שר המשפטים, לאחר התייעצות עם שר העבודה והרווחה ובאישור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החוקה חוק ומשפט של הכנסת, רשאי להתקין תקנות לביצוע סימן זה".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033EA9" w:rsidRPr="006954C8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  <w:tr w:rsidR="00033EA9" w:rsidRPr="006954C8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הנוער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(טיפול והשגחה)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033EA9" w:rsidRPr="006954C8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הראיות</w:t>
                        </w:r>
                      </w:p>
                    </w:tc>
                    <w:tc>
                      <w:tcPr>
                        <w:tcW w:w="4262" w:type="pct"/>
                        <w:gridSpan w:val="2"/>
                      </w:tcPr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הנוער (טיפול והשגחה), התש"ך-1960 3, סעיף יא - בטל.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בפקודת הראיות ( נוסח חדש), התשל"א-41971, בסעיף 5, בסופו יבוא: "יכן במשפט פלילי</w:t>
                        </w:r>
                      </w:p>
                      <w:p w:rsidR="00033EA9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עבירה לפי סעיף 337 או לפי סימן ו'1 בפרק י' לחוק העונשין, התשל"ז-1977, שנעברה בידי</w:t>
                        </w:r>
                      </w:p>
                      <w:p w:rsidR="00033EA9" w:rsidRPr="006954C8" w:rsidRDefault="00033E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זוג נגד בן זוגו, הורה נגד ילדו או ילד נגד הורהו".</w:t>
                        </w:r>
                      </w:p>
                    </w:tc>
                  </w:tr>
                </w:tbl>
                <w:p w:rsidR="00033EA9" w:rsidRDefault="00033EA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33EA9" w:rsidRDefault="00033EA9">
      <w:pPr>
        <w:rPr>
          <w:rtl/>
        </w:rPr>
      </w:pPr>
      <w:r>
        <w:rPr>
          <w:rtl/>
        </w:rPr>
        <w:br w:type="page"/>
      </w:r>
    </w:p>
    <w:p w:rsidR="00033EA9" w:rsidRDefault="00000000">
      <w:pPr>
        <w:rPr>
          <w:rtl/>
        </w:rPr>
      </w:pPr>
      <w:r>
        <w:pict>
          <v:shape id="_x0000_s50841" o:spid="_x0000_s1033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50841" inset="0,0,0,0">
              <w:txbxContent>
                <w:p w:rsidR="00033EA9" w:rsidRDefault="00033EA9">
                  <w:r>
                    <w:rPr>
                      <w:rtl/>
                    </w:rPr>
                    <w:t>12                                          ספר החוקים 1290                   ט' בכסליו התש"נ 07.12.1989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42" o:spid="_x0000_s1034" type="#_x0000_t202" style="position:absolute;left:0;text-align:left;margin-left:88.45pt;margin-top:699.85pt;width:172.25pt;height:36.25pt;z-index:14;mso-wrap-style:none;mso-position-horizontal-relative:page;mso-position-vertical-relative:page" stroked="f">
            <v:textbox style="mso-next-textbox:#_x0000_s50842" inset="0,0,0,0">
              <w:txbxContent>
                <w:p w:rsidR="00033EA9" w:rsidRDefault="00033EA9">
                  <w:pPr>
                    <w:pStyle w:val="OCRStyle3"/>
                    <w:rPr>
                      <w:rtl/>
                    </w:rPr>
                  </w:pPr>
                </w:p>
                <w:p w:rsidR="00033EA9" w:rsidRDefault="00033EA9">
                  <w:pPr>
                    <w:pStyle w:val="OCRStyle3"/>
                    <w:ind w:left="281"/>
                  </w:pPr>
                  <w:r>
                    <w:rPr>
                      <w:rtl/>
                    </w:rPr>
                    <w:t>סודר בסדר-צילום, 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43" o:spid="_x0000_s1035" type="#_x0000_t202" style="position:absolute;left:0;text-align:left;margin-left:289.8pt;margin-top:570.75pt;width:184.35pt;height:33.45pt;z-index:13;mso-wrap-style:none;mso-position-horizontal-relative:page;mso-position-vertical-relative:page" stroked="f">
            <v:textbox style="mso-next-textbox:#_x0000_s50843" inset="0,0,0,0">
              <w:txbxContent>
                <w:p w:rsidR="00033EA9" w:rsidRDefault="00033EA9">
                  <w:pPr>
                    <w:pStyle w:val="OCRStyle3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5 ס"ח התשמ"ד, עמ' 195, התשמ"ח, עני' 186.</w:t>
                  </w:r>
                </w:p>
                <w:p w:rsidR="00033EA9" w:rsidRPr="00033EA9" w:rsidRDefault="00033EA9">
                  <w:pPr>
                    <w:pStyle w:val="OCRStyle3"/>
                    <w:ind w:left="216"/>
                  </w:pPr>
                  <w:r>
                    <w:rPr>
                      <w:rtl/>
                    </w:rPr>
                    <w:t>' ס''ח התשט"ו, עמ' 96; התשכ''ג, עמ' 9.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44" o:spid="_x0000_s1036" type="#_x0000_t202" style="position:absolute;left:0;text-align:left;margin-left:121.1pt;margin-top:488.95pt;width:68.1pt;height:28.3pt;z-index:12;mso-wrap-style:none;mso-position-horizontal-relative:page;mso-position-vertical-relative:page" stroked="f">
            <v:textbox style="mso-next-textbox:#_x0000_s50844" inset="0,0,0,0">
              <w:txbxContent>
                <w:p w:rsidR="00033EA9" w:rsidRDefault="00033EA9">
                  <w:pPr>
                    <w:pStyle w:val="OCRStyle3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033EA9" w:rsidRDefault="00033EA9">
                  <w:pPr>
                    <w:pStyle w:val="OCRStyle3"/>
                    <w:ind w:left="14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45" o:spid="_x0000_s1037" type="#_x0000_t202" style="position:absolute;left:0;text-align:left;margin-left:246.85pt;margin-top:488.95pt;width:70.7pt;height:30.1pt;z-index:11;mso-wrap-style:none;mso-position-horizontal-relative:page;mso-position-vertical-relative:page" stroked="f">
            <v:textbox style="mso-next-textbox:#_x0000_s50845" inset="0,0,0,0">
              <w:txbxContent>
                <w:p w:rsidR="00033EA9" w:rsidRDefault="00033EA9">
                  <w:pPr>
                    <w:pStyle w:val="OCRStyle3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33EA9" w:rsidRDefault="00033EA9">
                  <w:pPr>
                    <w:pStyle w:val="OCRStyle3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46" o:spid="_x0000_s1038" type="#_x0000_t202" style="position:absolute;left:0;text-align:left;margin-left:367.45pt;margin-top:510.35pt;width:83.35pt;height:31.9pt;z-index:10;mso-wrap-style:none;mso-position-horizontal-relative:page;mso-position-vertical-relative:page" stroked="f">
            <v:textbox style="mso-next-textbox:#_x0000_s50846" inset="0,0,0,0">
              <w:txbxContent>
                <w:p w:rsidR="00033EA9" w:rsidRDefault="00033EA9">
                  <w:pPr>
                    <w:pStyle w:val="OCRStyle3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33EA9" w:rsidRDefault="00033EA9">
                  <w:pPr>
                    <w:pStyle w:val="OCRStyle3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47" o:spid="_x0000_s1039" type="#_x0000_t202" style="position:absolute;left:0;text-align:left;margin-left:83.3pt;margin-top:74.75pt;width:460.55pt;height:409.05pt;z-index:9;mso-wrap-style:none;mso-position-horizontal-relative:page;mso-position-vertical-relative:page" stroked="f">
            <v:textbox style="mso-next-textbox:#_x0000_s50847" inset="0,0,0,0">
              <w:txbxContent>
                <w:tbl>
                  <w:tblPr>
                    <w:tblW w:w="49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788"/>
                    <w:gridCol w:w="2513"/>
                    <w:gridCol w:w="1074"/>
                  </w:tblGrid>
                  <w:tr w:rsidR="00033EA9" w:rsidRPr="00033EA9">
                    <w:trPr>
                      <w:jc w:val="right"/>
                    </w:trPr>
                    <w:tc>
                      <w:tcPr>
                        <w:tcW w:w="4359" w:type="pct"/>
                        <w:gridSpan w:val="2"/>
                      </w:tcPr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בחוק בתי המשפט (נוסח משולב), התשמ"ד-1984י</w:t>
                        </w:r>
                      </w:p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/1) בסעיף 68(ב), במקום פסקה (4) יבוא:</w:t>
                        </w:r>
                      </w:p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לשם הגנה על עניינו של קטין או חסר ישע כהגדרתו בסעיף 368א לחוק</w:t>
                        </w:r>
                      </w:p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התשל"ז-1977":</w:t>
                        </w:r>
                      </w:p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בתוספת השניה, בפסקה 1, לפני "381(ב)" יבוא: "368ב, 368ג".</w:t>
                        </w:r>
                      </w:p>
                    </w:tc>
                    <w:tc>
                      <w:tcPr>
                        <w:tcW w:w="641" w:type="pct"/>
                      </w:tcPr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33EA9" w:rsidRP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בת- המשפט</w:t>
                        </w:r>
                      </w:p>
                    </w:tc>
                  </w:tr>
                  <w:tr w:rsidR="00033EA9" w:rsidRPr="00033EA9">
                    <w:trPr>
                      <w:jc w:val="right"/>
                    </w:trPr>
                    <w:tc>
                      <w:tcPr>
                        <w:tcW w:w="4359" w:type="pct"/>
                        <w:gridSpan w:val="2"/>
                      </w:tcPr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בחוק לתיקון דיני הראיות (הגנת ילדים), התשט"ו-61955 -</w:t>
                        </w:r>
                      </w:p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בסופו יבוא:</w:t>
                        </w:r>
                      </w:p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""קטין'- - כהגדרתו בחוק הכשרות המשפטית והאפוטרופסות, התשכ"ב-</w:t>
                        </w:r>
                      </w:p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1962":</w:t>
                        </w:r>
                      </w:p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2, במקום סעיף קטן (א) יבוא:</w:t>
                        </w:r>
                      </w:p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אין מעידים ילד על מעשה עבירה נגד המוסר שנעשה בגופו או בנוכחותו</w:t>
                        </w:r>
                      </w:p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שהוא חשוד בעשייתו, או על מעשה עבירה של הורה כלפי ילדו לפי סעיפים</w:t>
                        </w:r>
                      </w:p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337, 368ב ו-368ג לחוק העונשין, התשל"ז-1977, ואין מקבלים כראיה</w:t>
                        </w:r>
                      </w:p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הודעתו של קטין על מעשה כאמור, אלא ברשות חוקר נוער":</w:t>
                        </w:r>
                      </w:p>
                      <w:p w:rsidR="00033EA9" w:rsidRP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2 יבוא:</w:t>
                        </w:r>
                      </w:p>
                    </w:tc>
                    <w:tc>
                      <w:tcPr>
                        <w:tcW w:w="641" w:type="pct"/>
                      </w:tcPr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דיני</w:t>
                        </w:r>
                      </w:p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 (הגנה</w:t>
                        </w:r>
                      </w:p>
                      <w:p w:rsidR="00033EA9" w:rsidRP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(ילדים)</w:t>
                        </w:r>
                      </w:p>
                    </w:tc>
                  </w:tr>
                  <w:tr w:rsidR="00033EA9">
                    <w:trPr>
                      <w:jc w:val="right"/>
                    </w:trPr>
                    <w:tc>
                      <w:tcPr>
                        <w:tcW w:w="2859" w:type="pct"/>
                      </w:tcPr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בעדותו של קטין המעיד נגד הורהו במשפט פלילי</w:t>
                        </w:r>
                      </w:p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עבירה לפי סעיפים 345 עד 349 לחוק העונשין,</w:t>
                        </w:r>
                      </w:p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התשל"ז-1977, רשאי בית המשפט, אם הוא סבור כי הדבר</w:t>
                        </w:r>
                      </w:p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 כדי למנוע נזק נפשי לקטין, להורות שעדותו תישמע</w:t>
                        </w:r>
                      </w:p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בנוכחות ההורה-הנאשם אלא בנוכחות סניגורו":</w:t>
                        </w:r>
                      </w:p>
                    </w:tc>
                    <w:tc>
                      <w:tcPr>
                        <w:tcW w:w="1500" w:type="pct"/>
                      </w:tcPr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"העדת קטין</w:t>
                        </w:r>
                      </w:p>
                      <w:p w:rsidR="00033EA9" w:rsidRP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 הורהו</w:t>
                        </w:r>
                      </w:p>
                    </w:tc>
                    <w:tc>
                      <w:tcPr>
                        <w:tcW w:w="641" w:type="pct"/>
                      </w:tcPr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33EA9">
                    <w:trPr>
                      <w:jc w:val="right"/>
                    </w:trPr>
                    <w:tc>
                      <w:tcPr>
                        <w:tcW w:w="4359" w:type="pct"/>
                        <w:gridSpan w:val="2"/>
                      </w:tcPr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התוספת יבוא:</w:t>
                        </w:r>
                      </w:p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</w:t>
                        </w:r>
                      </w:p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1)</w:t>
                        </w:r>
                      </w:p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לפי הסעיפים הבאים של חוק העונשין, התשל"ז-1977: 208 עד 211, 345(א) ו-346</w:t>
                        </w:r>
                      </w:p>
                      <w:p w:rsidR="00033EA9" w:rsidRP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349".</w:t>
                        </w:r>
                      </w:p>
                    </w:tc>
                    <w:tc>
                      <w:tcPr>
                        <w:tcW w:w="641" w:type="pct"/>
                      </w:tcPr>
                      <w:p w:rsidR="00033EA9" w:rsidRDefault="00033EA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33EA9" w:rsidRDefault="00033EA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D28D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3ABA2CD-7093-4BC1-A367-AF9A6287C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D28D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954C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33EA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2008-04-07T03:30:00Z</dcterms:created>
  <dcterms:modified xsi:type="dcterms:W3CDTF">2008-04-07T03:30:00Z</dcterms:modified>
</cp:coreProperties>
</file>