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2B97" w:rsidRDefault="00D12B97">
      <w:pPr>
        <w:rPr>
          <w:rtl/>
        </w:rPr>
      </w:pPr>
    </w:p>
    <w:p w:rsidR="00D12B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9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0923" inset="0,0,0,0">
              <w:txbxContent>
                <w:p w:rsidR="003E0F99" w:rsidRDefault="003E0F99">
                  <w:r>
                    <w:rPr>
                      <w:rtl/>
                    </w:rPr>
                    <w:t>143                                         ספר החוקים 1428                     י' באב התשנ"ג 28.07.1993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24" o:spid="_x0000_s1026" type="#_x0000_t202" style="position:absolute;left:0;text-align:left;margin-left:167.85pt;margin-top:669.2pt;width:392.45pt;height:85.95pt;z-index:3;mso-position-horizontal-relative:page;mso-position-vertical-relative:page" stroked="f">
            <v:textbox style="mso-next-textbox:#_x0000_s50924" inset="0,0,0,0">
              <w:txbxContent>
                <w:p w:rsidR="003E0F99" w:rsidRDefault="003E0F9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התשנ''ג (19 ביולי 0993; הצעת החוק ודברי הסבר פורסמו בהצעות חוק 2087, מיום י''א</w:t>
                  </w:r>
                </w:p>
                <w:p w:rsidR="003E0F99" w:rsidRDefault="003E0F99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בכסלו התשנ''ב (18 בנובמבר 1991), עמ' 64.</w:t>
                  </w:r>
                </w:p>
                <w:p w:rsidR="003E0F99" w:rsidRPr="00D12B97" w:rsidRDefault="003E0F99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1 ע"ר 1065, תוס' 1, עמ' (ע) 191 (א) 239; ס''ח התשנ''ב,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25" o:spid="_x0000_s1027" type="#_x0000_t202" style="position:absolute;left:0;text-align:left;margin-left:79.95pt;margin-top:118.95pt;width:486.5pt;height:539.75pt;z-index:2;mso-position-horizontal-relative:page;mso-position-vertical-relative:page" stroked="f">
            <v:textbox style="mso-next-textbox:#_x0000_s5092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82"/>
                    <w:gridCol w:w="5806"/>
                    <w:gridCol w:w="1357"/>
                  </w:tblGrid>
                  <w:tr w:rsidR="003E0F99" w:rsidRPr="00D12B97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24א</w:t>
                        </w:r>
                      </w:p>
                    </w:tc>
                    <w:tc>
                      <w:tcPr>
                        <w:tcW w:w="4049" w:type="pct"/>
                        <w:gridSpan w:val="2"/>
                      </w:tcPr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.אחרי סעיף 24 לפקודת בריאות העם, 1940 1(להלן - הפקודה), יבוא:</w:t>
                        </w:r>
                      </w:p>
                    </w:tc>
                  </w:tr>
                  <w:tr w:rsidR="003E0F99" w:rsidRPr="00D12B97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2" w:type="pct"/>
                      </w:tcPr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(1) לא יקים אדם בית חולים אלא אם כן קיבל אישור לכך, מראש,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מאת המנהל (להלן - אישור הקמה); לענין זה, "הקמה" - לרבות בניה, הרחבה,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מחלקה, שינוי יעוד של מחלקה או של מיטות, וכן הסבה או התאמה של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קיים לבית חולים.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המנהל יתן אישור הקמה, בהתחשב בשיקולים רפואיים ובשיקולים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הבאים בלבד: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ההקמה וההפעלה השוטפת של בית החולים לא יטילו מעמסה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ההוצאה הציבורית לבריאות;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(ב&gt; תוספת המיטות לא תגרום לחריגה משיעור המיטות לנפש על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יעודן ועל פי צרכי האוכלוסיה באותו אזור.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השר, באישור ועדת העבידה והרווחה של הכנסת, יקבע בתקנות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כללים, מבחנים ואמות מידה לביצוע הוראות סעיף קטן (2).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הוראות סעיף זה באות להוסיף על הוראות כל דין."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'אישור הקמה</w:t>
                        </w:r>
                      </w:p>
                    </w:tc>
                  </w:tr>
                  <w:tr w:rsidR="003E0F99" w:rsidRPr="00D12B97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049" w:type="pct"/>
                        <w:gridSpan w:val="2"/>
                      </w:tcPr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29 לפקודה, אחרי "בתי חולים" יבוא "או מרפאות" ואחרי "או על רופאיו" יבוא "או</w:t>
                        </w:r>
                      </w:p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מנהל מרפאה או על רופאיו".</w:t>
                        </w:r>
                      </w:p>
                    </w:tc>
                  </w:tr>
                  <w:tr w:rsidR="003E0F99" w:rsidRPr="00D12B97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29א</w:t>
                        </w:r>
                      </w:p>
                    </w:tc>
                    <w:tc>
                      <w:tcPr>
                        <w:tcW w:w="4049" w:type="pct"/>
                        <w:gridSpan w:val="2"/>
                      </w:tcPr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.בסעיף 29א(3) לפקודה, במקום "או עקב אשפוזו כאמור" יבוא "או תוך כדי טיפול בו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במרפאה או עקב האשפוז או הטיפול כאמור" ובמקום "חייב לספק לרופא הממשלתי כל מידע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שידרוש לבירור נסיבות המקרה" יבוא "או רופא המרפאה, חייבים לספק לרופא הממשלתי כל מידע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שידרשו לצורך בירור המקרה, לרבות מידע מתוך רשומות רפואיות המתייחסות לחולים אחרים,</w:t>
                        </w:r>
                      </w:p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שזהותם של חולים אלה לא תיחשף".</w:t>
                        </w:r>
                      </w:p>
                    </w:tc>
                  </w:tr>
                  <w:tr w:rsidR="003E0F99" w:rsidRPr="00D12B97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29ב</w:t>
                        </w:r>
                      </w:p>
                    </w:tc>
                    <w:tc>
                      <w:tcPr>
                        <w:tcW w:w="4049" w:type="pct"/>
                        <w:gridSpan w:val="2"/>
                      </w:tcPr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.בסעיף 29ב לפקודה, אחרי "בתי חולים" יבוא "או מרפאות הטעונות רישום כאמור בסעיף</w:t>
                        </w:r>
                      </w:p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34" ואחרי "לבית החולים" יבוא "או למרפאה כאמור".</w:t>
                        </w:r>
                      </w:p>
                    </w:tc>
                  </w:tr>
                  <w:tr w:rsidR="003E0F99" w:rsidRPr="00D12B97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049" w:type="pct"/>
                        <w:gridSpan w:val="2"/>
                      </w:tcPr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.בסעיף 33 לפקודה, אחרי פסקה (י) יבוא: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"(יא) ניהול מקצועי;</w:t>
                        </w:r>
                      </w:p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(יב&gt; טיפול רפואי נאות בחולים.".</w:t>
                        </w:r>
                      </w:p>
                    </w:tc>
                  </w:tr>
                  <w:tr w:rsidR="003E0F99" w:rsidRPr="00D12B97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53</w:t>
                        </w:r>
                      </w:p>
                    </w:tc>
                    <w:tc>
                      <w:tcPr>
                        <w:tcW w:w="4049" w:type="pct"/>
                        <w:gridSpan w:val="2"/>
                      </w:tcPr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.בסעיף 53(טו) לפקודה, במקום "מעונות" יבוא "מחנות" ובמקום "מעונות נוער" יבוא</w:t>
                        </w:r>
                      </w:p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"מחנות נוער".</w:t>
                        </w:r>
                      </w:p>
                    </w:tc>
                  </w:tr>
                  <w:tr w:rsidR="003E0F99" w:rsidRPr="00D12B97">
                    <w:trPr>
                      <w:jc w:val="right"/>
                    </w:trPr>
                    <w:tc>
                      <w:tcPr>
                        <w:tcW w:w="951" w:type="pct"/>
                      </w:tcPr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65ב</w:t>
                        </w:r>
                      </w:p>
                    </w:tc>
                    <w:tc>
                      <w:tcPr>
                        <w:tcW w:w="4049" w:type="pct"/>
                        <w:gridSpan w:val="2"/>
                      </w:tcPr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65ב לפקודה, במקום סעיף קטן (3) יבוא:</w:t>
                        </w:r>
                      </w:p>
                      <w:p w:rsidR="003E0F99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שר הבריאות רשאי לקבוע כי הרכישה או השימוש של מכשיר רפואי מסוג פלוני טעון</w:t>
                        </w:r>
                      </w:p>
                      <w:p w:rsidR="003E0F99" w:rsidRPr="00D12B97" w:rsidRDefault="003E0F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רשיון; השר רשאי לקבוע תנאים לרשיון כאמור.</w:t>
                        </w:r>
                      </w:p>
                    </w:tc>
                  </w:tr>
                </w:tbl>
                <w:p w:rsidR="003E0F99" w:rsidRDefault="003E0F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926" o:spid="_x0000_s1028" type="#_x0000_t202" style="position:absolute;left:0;text-align:left;margin-left:3in;margin-top:88.85pt;width:295.4pt;height:28.5pt;z-index:1;mso-position-horizontal-relative:page;mso-position-vertical-relative:page" stroked="f">
            <v:textbox style="mso-next-textbox:#_x0000_s50926" inset="0,0,0,0">
              <w:txbxContent>
                <w:p w:rsidR="003E0F99" w:rsidRPr="00D12B97" w:rsidRDefault="003E0F99">
                  <w:pPr>
                    <w:pStyle w:val="OCRStyle1"/>
                    <w:ind w:left="12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בריאות העם (מס' 14), התשנ"ג-1993*</w:t>
                  </w:r>
                </w:p>
              </w:txbxContent>
            </v:textbox>
            <w10:wrap anchorx="page" anchory="page"/>
          </v:shape>
        </w:pict>
      </w:r>
    </w:p>
    <w:p w:rsidR="003E0F99" w:rsidRDefault="003E0F99">
      <w:pPr>
        <w:rPr>
          <w:rtl/>
        </w:rPr>
      </w:pPr>
      <w:r>
        <w:rPr>
          <w:rtl/>
        </w:rPr>
        <w:br w:type="page"/>
      </w:r>
    </w:p>
    <w:p w:rsidR="003E0F99" w:rsidRDefault="00000000">
      <w:pPr>
        <w:rPr>
          <w:rtl/>
        </w:rPr>
      </w:pPr>
      <w:r>
        <w:pict>
          <v:shape id="_x0000_s50927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0927" inset="0,0,0,0">
              <w:txbxContent>
                <w:p w:rsidR="003E0F99" w:rsidRDefault="003E0F99">
                  <w:r>
                    <w:rPr>
                      <w:rtl/>
                    </w:rPr>
                    <w:t>144                                         ספר החוקים 1428                     י' באב התשנ"ג 28.07.1993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28" o:spid="_x0000_s1030" type="#_x0000_t202" style="position:absolute;left:0;text-align:left;margin-left:85.25pt;margin-top:708.9pt;width:207.5pt;height:56.85pt;z-index:10;mso-position-horizontal-relative:page;mso-position-vertical-relative:page" stroked="f">
            <v:textbox style="mso-next-textbox:#_x0000_s50928" inset="0,0,0,0">
              <w:txbxContent>
                <w:p w:rsidR="003E0F99" w:rsidRDefault="003E0F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0929" o:spid="_x0000_s1031" type="#_x0000_t202" style="position:absolute;left:0;text-align:left;margin-left:108.4pt;margin-top:228.35pt;width:74.05pt;height:31.9pt;z-index:9;mso-position-horizontal-relative:page;mso-position-vertical-relative:page" stroked="f">
            <v:textbox style="mso-next-textbox:#_x0000_s50929" inset="0,0,0,0">
              <w:txbxContent>
                <w:p w:rsidR="003E0F99" w:rsidRDefault="003E0F99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חיים רמון</w:t>
                  </w:r>
                </w:p>
                <w:p w:rsidR="003E0F99" w:rsidRDefault="003E0F99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30" o:spid="_x0000_s1032" type="#_x0000_t202" style="position:absolute;left:0;text-align:left;margin-left:203.05pt;margin-top:253.5pt;width:81.75pt;height:44.75pt;z-index:8;mso-position-horizontal-relative:page;mso-position-vertical-relative:page" stroked="f">
            <v:textbox style="mso-next-textbox:#_x0000_s50930" inset="0,0,0,0">
              <w:txbxContent>
                <w:p w:rsidR="003E0F99" w:rsidRDefault="003E0F99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3E0F99" w:rsidRDefault="003E0F99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31" o:spid="_x0000_s1033" type="#_x0000_t202" style="position:absolute;left:0;text-align:left;margin-left:303.8pt;margin-top:229.35pt;width:75.85pt;height:38.6pt;z-index:7;mso-position-horizontal-relative:page;mso-position-vertical-relative:page" stroked="f">
            <v:textbox style="mso-next-textbox:#_x0000_s50931" inset="0,0,0,0">
              <w:txbxContent>
                <w:p w:rsidR="003E0F99" w:rsidRDefault="003E0F99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3E0F99" w:rsidRDefault="003E0F99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32" o:spid="_x0000_s1034" type="#_x0000_t202" style="position:absolute;left:0;text-align:left;margin-left:392.55pt;margin-top:256.85pt;width:81.75pt;height:40.4pt;z-index:6;mso-position-horizontal-relative:page;mso-position-vertical-relative:page" stroked="f">
            <v:textbox style="mso-next-textbox:#_x0000_s50932" inset="0,0,0,0">
              <w:txbxContent>
                <w:p w:rsidR="003E0F99" w:rsidRDefault="003E0F99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3E0F99" w:rsidRDefault="003E0F99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933" o:spid="_x0000_s1035" type="#_x0000_t202" style="position:absolute;left:0;text-align:left;margin-left:88.6pt;margin-top:79.45pt;width:376.2pt;height:145.55pt;z-index:5;mso-position-horizontal-relative:page;mso-position-vertical-relative:page" stroked="f">
            <v:textbox style="mso-next-textbox:#_x0000_s50933" inset="0,0,0,0">
              <w:txbxContent>
                <w:p w:rsidR="003E0F99" w:rsidRDefault="003E0F99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(4&gt; המנהל יוון רשיון כאמור בסעיף קטן (3&gt;, בהתחשב בשיקולים רפואיים ובשיקולים</w:t>
                  </w:r>
                </w:p>
                <w:p w:rsidR="003E0F99" w:rsidRDefault="003E0F99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הבאים בלבד -</w:t>
                  </w:r>
                </w:p>
                <w:p w:rsidR="003E0F99" w:rsidRDefault="003E0F99">
                  <w:pPr>
                    <w:pStyle w:val="OCRStyle2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&lt;א&gt; רכישת המכשיר והפעלתו השוטפת לא יטילו מעמסה על ההוצאה הציבורית</w:t>
                  </w:r>
                </w:p>
                <w:p w:rsidR="003E0F99" w:rsidRDefault="003E0F99">
                  <w:pPr>
                    <w:pStyle w:val="OCRStyle2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לבריאות;</w:t>
                  </w:r>
                </w:p>
                <w:p w:rsidR="003E0F99" w:rsidRDefault="003E0F99">
                  <w:pPr>
                    <w:pStyle w:val="OCRStyle2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(ב) המכשיר לא יגרום לחריגה משיעור המכשירים לנפש על פי צרכי</w:t>
                  </w:r>
                </w:p>
                <w:p w:rsidR="003E0F99" w:rsidRDefault="003E0F99">
                  <w:pPr>
                    <w:pStyle w:val="OCRStyle2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האוכלוסיה באותו אזור.</w:t>
                  </w:r>
                </w:p>
                <w:p w:rsidR="003E0F99" w:rsidRDefault="003E0F99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(5) שר הבריאות באישור ועדת העבודה והרווחה של הכנסת יקבע בתקנות כללים, מבחנים</w:t>
                  </w:r>
                </w:p>
                <w:p w:rsidR="003E0F99" w:rsidRDefault="003E0F99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ואמות מידה, לביצוע הוראות סעיף קטן &lt;4&gt;."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12B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10E99BA-4A82-48D7-BD46-17B6BB7A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2B9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E0F9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2008-04-07T09:06:00Z</dcterms:created>
  <dcterms:modified xsi:type="dcterms:W3CDTF">2008-04-07T09:07:00Z</dcterms:modified>
</cp:coreProperties>
</file>