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3175" w:rsidRDefault="00613175">
      <w:pPr>
        <w:rPr>
          <w:rtl/>
        </w:rPr>
      </w:pPr>
    </w:p>
    <w:p w:rsidR="0061317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0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031" inset="0,0,0,0">
              <w:txbxContent>
                <w:p w:rsidR="00745D3D" w:rsidRDefault="00745D3D">
                  <w:r>
                    <w:rPr>
                      <w:rtl/>
                    </w:rPr>
                    <w:t>156                                          ספר החוקים 531                   ז' בתמוז התשכ"ח 03.07.1968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32" o:spid="_x0000_s1026" type="#_x0000_t202" style="position:absolute;left:0;text-align:left;margin-left:80.3pt;margin-top:639.65pt;width:385.7pt;height:112.85pt;z-index:3;mso-wrap-style:none;mso-position-horizontal-relative:page;mso-position-vertical-relative:page" stroked="f">
            <v:textbox style="mso-next-textbox:#_x0000_s51032" inset="0,0,0,0">
              <w:txbxContent>
                <w:p w:rsidR="00745D3D" w:rsidRDefault="00745D3D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כ"ט בסיון תשכ''ח (25 ביוני 1968); הצעת החוק ודברי הסבר פורסמו בה"ח 771, תשכ"ח,</w:t>
                  </w:r>
                </w:p>
                <w:p w:rsidR="00745D3D" w:rsidRDefault="00745D3D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עמ' 202.</w:t>
                  </w:r>
                </w:p>
                <w:p w:rsidR="00745D3D" w:rsidRDefault="00745D3D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 ס"ח תשכ"ד, עמ' 175; ס"ח תשכ"ו, עמ' 31; ס''ח תשכ"ז, עמ' 21.</w:t>
                  </w:r>
                </w:p>
                <w:p w:rsidR="00745D3D" w:rsidRDefault="00745D3D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2 ס''ח תשי"ב, עמי 344; ס"ח תשי"ד, עמ' 113; ס"ח תשי"ח, עמ' 60; ס"ח תשכ''ב, עמ' 44.</w:t>
                  </w:r>
                </w:p>
                <w:p w:rsidR="00745D3D" w:rsidRPr="00613175" w:rsidRDefault="00745D3D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3 דיני מדינת ישראל, נוסת חדש 3, עמי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33" o:spid="_x0000_s1027" type="#_x0000_t202" style="position:absolute;left:0;text-align:left;margin-left:82.05pt;margin-top:111pt;width:456.2pt;height:522.7pt;z-index:2;mso-wrap-style:none;mso-position-horizontal-relative:page;mso-position-vertical-relative:page" stroked="f">
            <v:textbox style="mso-next-textbox:#_x0000_s51033" inset="0,0,0,0">
              <w:txbxContent>
                <w:tbl>
                  <w:tblPr>
                    <w:tblW w:w="486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080"/>
                  </w:tblGrid>
                  <w:tr w:rsidR="00745D3D" w:rsidRPr="00613175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745D3D" w:rsidRDefault="00745D3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"מס-עקיף" - מכס, בלו, מס קניה או היטל לפי תקנות שעת חירום (תשלומי חובה),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 ;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"חסר" - מס עקיף שלא שולם, או שהוחזר בטעות, כולו או מקצתו;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"יתר" - מס עקיף ששולם ביתר;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"טובין" - לרבות סתורה ושירותים הטעונים מס לפי חוק מס קניה (סחורות ושירותים),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תשי"ב-21952; ולענין זה, "מוכר" - לרבות נותן שירות, ו"קונה" - לרבות מקבל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שירות;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- כמשמעות בפקודת המכס 3;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"גובה המס" - כמשמעות גובה המכס בפקודת המכס או ממונה אזורי על מס קניה או בלו;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הקובעת" -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טובין שיובאו - חמש שנים מן היום שבו נתהווה החסר או היתר?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טובין אחרים - שלוש שנים מן היום שבו נתהווה החסר או היתר;</w:t>
                        </w:r>
                      </w:p>
                      <w:p w:rsidR="00745D3D" w:rsidRPr="00613175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"נישום" - אדם שנדרש לשלם חסר, ולענין סעיף 2 (ב) (1) ו-(2) וסעיף 3 - לרבות שליחו,</w:t>
                        </w:r>
                      </w:p>
                    </w:tc>
                    <w:tc>
                      <w:tcPr>
                        <w:tcW w:w="651" w:type="pct"/>
                      </w:tcPr>
                      <w:p w:rsidR="00745D3D" w:rsidRPr="00613175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745D3D" w:rsidRPr="00613175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נישום יהא חייב בתשלום חסר אם נדרש לעשות כן תוך התקופה הקובעת.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נישום יהא חייב בתשלום חסר אף לאחר התקופה הקובעת אם נוכח המנהל כי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נתקיים אחד מאלה: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החסר נבע מחמת ידיעה, אמרה, הצהרה או תעודה (להלן - ידיעה) בלתי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נכונה שמסר הנישום או מחמת שלא מסר ידיעה שהיה חייב למסרה והנישום לא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כי המעשה או המחדל היו בתום לב;</w:t>
                        </w:r>
                      </w:p>
                      <w:p w:rsidR="00745D3D" w:rsidRPr="00613175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הנישום ידע, או בנסיבות הענין צריך היה לדעת, על קיומו של החסר.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בתשלום</w:t>
                        </w:r>
                      </w:p>
                      <w:p w:rsidR="00745D3D" w:rsidRPr="00613175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חסר</w:t>
                        </w:r>
                      </w:p>
                    </w:tc>
                  </w:tr>
                  <w:tr w:rsidR="00745D3D" w:rsidRPr="00613175">
                    <w:trPr>
                      <w:jc w:val="right"/>
                    </w:trPr>
                    <w:tc>
                      <w:tcPr>
                        <w:tcW w:w="4349" w:type="pct"/>
                      </w:tcPr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האמור בסעיף 2, לא יהא הנישום חייב בתשלום חסר אט הוכח להנחת דעתו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המנהל כי נתקיימו כל אלה: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החסר לא נבע מחמת ידיעה בלתי נכונה שמסר הנישום או מחמת שלא מסר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שהיה חייב למסרה;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הנישום לא ידע, ובנסיבות הענין לא היה צריך לדעת, על קיומו של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החסר;</w:t>
                        </w:r>
                      </w:p>
                      <w:p w:rsidR="00745D3D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הנישום מכר את הטובין בתום לב, לפני דרישת תשלום החסר ובמחיר</w:t>
                        </w:r>
                      </w:p>
                      <w:p w:rsidR="00745D3D" w:rsidRPr="00613175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 בשוק פחות אותו חסר.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745D3D" w:rsidRPr="00613175" w:rsidRDefault="00745D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</w:tbl>
                <w:p w:rsidR="00745D3D" w:rsidRDefault="00745D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034" o:spid="_x0000_s1028" type="#_x0000_t202" style="position:absolute;left:0;text-align:left;margin-left:101.85pt;margin-top:75.75pt;width:355.4pt;height:31.9pt;z-index:1;mso-wrap-style:none;mso-position-horizontal-relative:page;mso-position-vertical-relative:page" stroked="f">
            <v:textbox style="mso-next-textbox:#_x0000_s51034" inset="0,0,0,0">
              <w:txbxContent>
                <w:p w:rsidR="00745D3D" w:rsidRPr="00613175" w:rsidRDefault="00745D3D">
                  <w:pPr>
                    <w:pStyle w:val="OCRStyle1"/>
                    <w:ind w:left="34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מסים עקיפים (מס ששולם ביתר או בחסר), תשכ"ח-1968 .</w:t>
                  </w:r>
                </w:p>
              </w:txbxContent>
            </v:textbox>
            <w10:wrap anchorx="page" anchory="page"/>
          </v:shape>
        </w:pict>
      </w:r>
    </w:p>
    <w:p w:rsidR="00745D3D" w:rsidRDefault="00745D3D">
      <w:pPr>
        <w:rPr>
          <w:rtl/>
        </w:rPr>
      </w:pPr>
      <w:r>
        <w:rPr>
          <w:rtl/>
        </w:rPr>
        <w:br w:type="page"/>
      </w:r>
    </w:p>
    <w:p w:rsidR="00745D3D" w:rsidRDefault="00000000">
      <w:pPr>
        <w:rPr>
          <w:rtl/>
        </w:rPr>
      </w:pPr>
      <w:r>
        <w:pict>
          <v:shape id="_x0000_s5103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1035" inset="0,0,0,0">
              <w:txbxContent>
                <w:p w:rsidR="00745D3D" w:rsidRDefault="00745D3D">
                  <w:r>
                    <w:rPr>
                      <w:rtl/>
                    </w:rPr>
                    <w:t>157                                          ספר החוקים 531                   ז' בתמוז התשכ"ח 03.07.1968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36" o:spid="_x0000_s1030" type="#_x0000_t202" style="position:absolute;left:0;text-align:left;margin-left:368.35pt;margin-top:718.95pt;width:174.65pt;height:22.35pt;z-index:10;mso-wrap-style:none;mso-position-horizontal-relative:page;mso-position-vertical-relative:page" stroked="f">
            <v:textbox style="mso-next-textbox:#_x0000_s51036" inset="0,0,0,0">
              <w:txbxContent>
                <w:p w:rsidR="00745D3D" w:rsidRDefault="00745D3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037" o:spid="_x0000_s1031" type="#_x0000_t202" style="position:absolute;left:0;text-align:left;margin-left:425.95pt;margin-top:570.85pt;width:121.35pt;height:54.25pt;z-index:9;mso-wrap-style:none;mso-position-horizontal-relative:page;mso-position-vertical-relative:page" stroked="f">
            <v:textbox style="mso-next-textbox:#_x0000_s51037" inset="0,0,0,0">
              <w:txbxContent>
                <w:p w:rsidR="00745D3D" w:rsidRDefault="00745D3D">
                  <w:pPr>
                    <w:pStyle w:val="OCRStyle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4 ס"ח תשי''ז, עמ' 120.</w:t>
                  </w:r>
                </w:p>
                <w:p w:rsidR="00745D3D" w:rsidRPr="00745D3D" w:rsidRDefault="00745D3D">
                  <w:pPr>
                    <w:pStyle w:val="OCRStyle2"/>
                    <w:ind w:left="587"/>
                  </w:pPr>
                  <w:r>
                    <w:rPr>
                      <w:rtl/>
                    </w:rPr>
                    <w:t>5 ס"ח תשי"ח, עמ' .160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38" o:spid="_x0000_s1032" type="#_x0000_t202" style="position:absolute;left:0;text-align:left;margin-left:157.45pt;margin-top:429.7pt;width:114.45pt;height:80pt;z-index:8;mso-wrap-style:none;mso-position-horizontal-relative:page;mso-position-vertical-relative:page" stroked="f">
            <v:textbox style="mso-next-textbox:#_x0000_s51038" inset="0,0,0,0">
              <w:txbxContent>
                <w:p w:rsidR="00745D3D" w:rsidRDefault="00745D3D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745D3D" w:rsidRDefault="00745D3D">
                  <w:pPr>
                    <w:pStyle w:val="OCRStyle2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745D3D" w:rsidRDefault="00745D3D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39" o:spid="_x0000_s1033" type="#_x0000_t202" style="position:absolute;left:0;text-align:left;margin-left:410.5pt;margin-top:493.45pt;width:133.45pt;height:42.15pt;z-index:7;mso-wrap-style:none;mso-position-horizontal-relative:page;mso-position-vertical-relative:page" stroked="f">
            <v:textbox style="mso-next-textbox:#_x0000_s51039" inset="0,0,0,0">
              <w:txbxContent>
                <w:p w:rsidR="00745D3D" w:rsidRDefault="00745D3D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45D3D" w:rsidRDefault="00745D3D">
                  <w:pPr>
                    <w:pStyle w:val="OCRStyle2"/>
                    <w:ind w:left="7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40" o:spid="_x0000_s1034" type="#_x0000_t202" style="position:absolute;left:0;text-align:left;margin-left:307.15pt;margin-top:441.75pt;width:72.25pt;height:47.3pt;z-index:6;mso-wrap-style:none;mso-position-horizontal-relative:page;mso-position-vertical-relative:page" stroked="f">
            <v:textbox style="mso-next-textbox:#_x0000_s51040" inset="0,0,0,0">
              <w:txbxContent>
                <w:p w:rsidR="00745D3D" w:rsidRDefault="00745D3D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45D3D" w:rsidRDefault="00745D3D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41" o:spid="_x0000_s1035" type="#_x0000_t202" style="position:absolute;left:0;text-align:left;margin-left:92.7pt;margin-top:74.1pt;width:457.95pt;height:346.1pt;z-index:5;mso-wrap-style:none;mso-position-horizontal-relative:page;mso-position-vertical-relative:page" stroked="f">
            <v:textbox style="mso-next-textbox:#_x0000_s51041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213"/>
                  </w:tblGrid>
                  <w:tr w:rsidR="00745D3D" w:rsidRPr="00745D3D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טובין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גובה המס רשאי לעכב הוצאתם של טובין של נישום מפיקוח המכס עד לתשלום החסר</w:t>
                        </w:r>
                      </w:p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מהנישום על אותם טובין או על טובין אחרים שיבואם חייב במס עקיף.</w:t>
                        </w:r>
                      </w:p>
                    </w:tc>
                  </w:tr>
                  <w:tr w:rsidR="00745D3D" w:rsidRPr="00745D3D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לוותר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המנהל רשאי לוותר על גביית חסר, כולו או מקצתו, אם נראה לו כי הוצאות גביית</w:t>
                        </w:r>
                      </w:p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החסר אינן מצדיקות את גבייתו.</w:t>
                        </w:r>
                      </w:p>
                    </w:tc>
                  </w:tr>
                  <w:tr w:rsidR="00745D3D" w:rsidRPr="00745D3D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יתר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יתר יוחזר למי ששילמו, אם המנהל נתבקש לכך תוך התקופה הקובעת.</w:t>
                        </w:r>
                      </w:p>
                      <w:p w:rsid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נוכח המנהל כי הטובין נמכרו במחיר העולה על המקובל בשוק, לא יוחזר היתר</w:t>
                        </w:r>
                      </w:p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ההפרש הוחזר לקונה; סייג זה לא יחול אם היתר נבע מטעות סופר.</w:t>
                        </w:r>
                      </w:p>
                    </w:tc>
                  </w:tr>
                  <w:tr w:rsidR="00745D3D" w:rsidRPr="00745D3D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חיקוקים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החיקוקים החלים על מס-עקיף יחולו גם על יתר וחסר.</w:t>
                        </w:r>
                      </w:p>
                    </w:tc>
                  </w:tr>
                  <w:tr w:rsidR="00745D3D" w:rsidRPr="00745D3D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המנהל רשאי לאצול מסמכויותיו לפי חוק זה, למעט סמכותו לפי סעיף 2 (ב).</w:t>
                        </w:r>
                      </w:p>
                    </w:tc>
                  </w:tr>
                  <w:tr w:rsidR="00745D3D" w:rsidRPr="00745D3D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בטלים -</w:t>
                        </w:r>
                      </w:p>
                      <w:p w:rsid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151 ו-155 לפקודת המכס;</w:t>
                        </w:r>
                      </w:p>
                      <w:p w:rsid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13 (ב) ו-27 (א) (3) לחוק מס קניה (סחורות ושירותים), תשי"ב-</w:t>
                        </w:r>
                      </w:p>
                      <w:p w:rsid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1952;</w:t>
                        </w:r>
                      </w:p>
                      <w:p w:rsid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תקנה 16 (ב) לתקנות שעת חירום (תשלומי חובה), תשי"ח-1958;</w:t>
                        </w:r>
                      </w:p>
                      <w:p w:rsid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סעיפים 11 (א) ו-12 לחוק הבלו על סוכר, תשי"ז-41957</w:t>
                        </w:r>
                      </w:p>
                      <w:p w:rsidR="00745D3D" w:rsidRPr="00745D3D" w:rsidRDefault="00745D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סעיפים 13 ו-14 לחוק הבלו על דלק, תשי"ח-51958.</w:t>
                        </w:r>
                      </w:p>
                    </w:tc>
                  </w:tr>
                </w:tbl>
                <w:p w:rsidR="00745D3D" w:rsidRDefault="00745D3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317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F10891-CB19-4129-B358-CA3261E6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317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45D3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2008-04-09T14:28:00Z</dcterms:created>
  <dcterms:modified xsi:type="dcterms:W3CDTF">2008-04-09T14:29:00Z</dcterms:modified>
</cp:coreProperties>
</file>