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3367" w:rsidRDefault="00613367">
      <w:pPr>
        <w:rPr>
          <w:rtl/>
        </w:rPr>
      </w:pPr>
    </w:p>
    <w:p w:rsidR="006133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7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278" inset="0,0,0,0">
              <w:txbxContent>
                <w:p w:rsidR="00613367" w:rsidRDefault="00613367">
                  <w:r>
                    <w:rPr>
                      <w:rtl/>
                    </w:rPr>
                    <w:t>44                                          ספר החוקים 1409                   כ"ז בטבת התשנ"ג 20.01.1993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9" o:spid="_x0000_s1026" type="#_x0000_t202" style="position:absolute;left:0;text-align:left;margin-left:91.55pt;margin-top:709.4pt;width:201.35pt;height:48.9pt;z-index:8;mso-position-horizontal-relative:page;mso-position-vertical-relative:page" stroked="f">
            <v:textbox style="mso-next-textbox:#_x0000_s51279" inset="0,0,0,0">
              <w:txbxContent>
                <w:p w:rsidR="00613367" w:rsidRDefault="00613367">
                  <w:pPr>
                    <w:pStyle w:val="OCRStyle1"/>
                    <w:rPr>
                      <w:rtl/>
                    </w:rPr>
                  </w:pPr>
                </w:p>
                <w:p w:rsidR="00613367" w:rsidRDefault="00613367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0" o:spid="_x0000_s1027" type="#_x0000_t202" style="position:absolute;left:0;text-align:left;margin-left:82.05pt;margin-top:434.75pt;width:409.85pt;height:135.05pt;z-index:7;mso-position-horizontal-relative:page;mso-position-vertical-relative:page" stroked="f">
            <v:textbox style="mso-next-textbox:#_x0000_s51280" inset="0,0,0,0">
              <w:txbxContent>
                <w:p w:rsidR="00613367" w:rsidRDefault="00613367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כיום כ ו בטבת רתשנ ג (19 בינואר 1993) רצעת דחוק ודברי הסבר פורסמו בהצעות חוק 2152 מיום ד</w:t>
                  </w:r>
                </w:p>
                <w:p w:rsidR="00613367" w:rsidRDefault="00613367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בטבת רתשנ ג (28 בדצמבר 1992) עמ 38</w:t>
                  </w:r>
                </w:p>
                <w:p w:rsidR="00613367" w:rsidRDefault="00613367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ס"ח התשל"ה עמ' 234 התשנ"א עמ' 2</w:t>
                  </w:r>
                </w:p>
                <w:p w:rsidR="00613367" w:rsidRDefault="00613367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 ס"ח התשמ"א עמ' 208</w:t>
                  </w:r>
                </w:p>
                <w:p w:rsidR="00613367" w:rsidRDefault="00613367">
                  <w:pPr>
                    <w:pStyle w:val="OCRStyle1"/>
                    <w:ind w:left="312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הודעת המערכת</w:t>
                  </w:r>
                </w:p>
                <w:p w:rsidR="00613367" w:rsidRPr="00613367" w:rsidRDefault="00613367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בספר החוקים 1407 מיום י"ד בטבת התשנ"ג (1.1993 7) יש לסמן את מספר העמוד 26 ולא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1" o:spid="_x0000_s1028" type="#_x0000_t202" style="position:absolute;left:0;text-align:left;margin-left:107.8pt;margin-top:358.9pt;width:65.55pt;height:26.75pt;z-index:6;mso-position-horizontal-relative:page;mso-position-vertical-relative:page" stroked="f">
            <v:textbox style="mso-next-textbox:#_x0000_s51281" inset="0,0,0,0">
              <w:txbxContent>
                <w:p w:rsidR="00613367" w:rsidRDefault="0061336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13367" w:rsidRDefault="00613367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2" o:spid="_x0000_s1029" type="#_x0000_t202" style="position:absolute;left:0;text-align:left;margin-left:188pt;margin-top:380.5pt;width:95.45pt;height:38.6pt;z-index:5;mso-position-horizontal-relative:page;mso-position-vertical-relative:page" stroked="f">
            <v:textbox style="mso-next-textbox:#_x0000_s51282" inset="0,0,0,0">
              <w:txbxContent>
                <w:p w:rsidR="00613367" w:rsidRDefault="00613367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13367" w:rsidRDefault="00613367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3" o:spid="_x0000_s1030" type="#_x0000_t202" style="position:absolute;left:0;text-align:left;margin-left:296.5pt;margin-top:356.35pt;width:73.05pt;height:31.9pt;z-index:4;mso-position-horizontal-relative:page;mso-position-vertical-relative:page" stroked="f">
            <v:textbox style="mso-next-textbox:#_x0000_s51283" inset="0,0,0,0">
              <w:txbxContent>
                <w:p w:rsidR="00613367" w:rsidRDefault="0061336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13367" w:rsidRDefault="0061336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4" o:spid="_x0000_s1031" type="#_x0000_t202" style="position:absolute;left:0;text-align:left;margin-left:383.4pt;margin-top:382.1pt;width:81.75pt;height:35.45pt;z-index:3;mso-position-horizontal-relative:page;mso-position-vertical-relative:page" stroked="f">
            <v:textbox style="mso-next-textbox:#_x0000_s51284" inset="0,0,0,0">
              <w:txbxContent>
                <w:p w:rsidR="00613367" w:rsidRDefault="0061336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13367" w:rsidRDefault="00613367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5" o:spid="_x0000_s1032" type="#_x0000_t202" style="position:absolute;left:0;text-align:left;margin-left:85.4pt;margin-top:113.6pt;width:477pt;height:242.75pt;z-index:2;mso-position-horizontal-relative:page;mso-position-vertical-relative:page" stroked="f">
            <v:textbox style="mso-next-textbox:#_x0000_s512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473"/>
                  </w:tblGrid>
                  <w:tr w:rsidR="00613367" w:rsidRPr="00613367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13367" w:rsidRDefault="0061336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12(א)(2) לחוק פיצויים לנפגעי תאונות דרכים, התשל"ה-1975 1 (להלן - החוק</w:t>
                        </w:r>
                      </w:p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</w:t>
                        </w:r>
                      </w:p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למבטח מונה מנהל מורשה לפי סעיף 68(א)(3) לחוק הפיקוח על עסקי ביטוח,</w:t>
                        </w:r>
                      </w:p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התשמ"א-21981 (להלן - מנהל מורשה), בהוראת המפקח על הביטוח, כמשמעו בחוק</w:t>
                        </w:r>
                      </w:p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בשל כך שהמבטח אינו יכול לקיים התחייבויותיו, ושר האוצר, לפי המלצת</w:t>
                        </w:r>
                      </w:p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על הביטוח, אישר כי מן הראוי שהקרן תפעל לפי סעיף זה,".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קין סעיף 12</w:t>
                        </w:r>
                      </w:p>
                    </w:tc>
                  </w:tr>
                  <w:tr w:rsidR="00613367" w:rsidRPr="00613367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12א לחוק העיקרי יסומן (ב), ולפניו יבוא-</w:t>
                        </w:r>
                      </w:p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חלה על הקרן חבות כאמור בסעיף 12(א)(2א), יראו את הקרן כנושה של המבטח,</w:t>
                        </w:r>
                      </w:p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המפרק אם מונה מפרק למבטח, לגבי סכום החבות."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613367" w:rsidRPr="00613367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12ב(א) לחוק העיקרי, כרישה, במקום "היה מבטח הנמצא בפירוק" יבוא "היה</w:t>
                        </w:r>
                      </w:p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מבטח, שמונה לו מנהל מורשה או שנמצא בפירוק," ובמקום "בסעיף 12(א)(3)" יבוא "בסעיף</w:t>
                        </w:r>
                      </w:p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12(א)(2א) או (3)"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12ב</w:t>
                        </w:r>
                      </w:p>
                    </w:tc>
                  </w:tr>
                  <w:tr w:rsidR="00613367" w:rsidRPr="00613367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זד. יחול גם לגבי מבטח שמונה לו מנהל מורשה החל ביום י"ג בכסלו התשנ"ג</w:t>
                        </w:r>
                      </w:p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 בדצמבר 1992)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13367" w:rsidRPr="00613367" w:rsidRDefault="006133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-חולד</w:t>
                        </w:r>
                      </w:p>
                    </w:tc>
                  </w:tr>
                </w:tbl>
                <w:p w:rsidR="00613367" w:rsidRDefault="006133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86" o:spid="_x0000_s1033" type="#_x0000_t202" style="position:absolute;left:0;text-align:left;margin-left:110.35pt;margin-top:77.35pt;width:345.3pt;height:31.9pt;z-index:1;mso-position-horizontal-relative:page;mso-position-vertical-relative:page" stroked="f">
            <v:textbox style="mso-next-textbox:#_x0000_s51286" inset="0,0,0,0">
              <w:txbxContent>
                <w:p w:rsidR="00613367" w:rsidRPr="00613367" w:rsidRDefault="00613367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פיצויים לנפגעי תאונות דרכים (תיקון מס' 9),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133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0DDF4C-6FFD-4EF2-82AA-400EB79D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33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2008-04-07T08:50:00Z</dcterms:created>
  <dcterms:modified xsi:type="dcterms:W3CDTF">2008-04-07T08:50:00Z</dcterms:modified>
</cp:coreProperties>
</file>