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F31B3" w:rsidRDefault="008F31B3">
      <w:pPr>
        <w:rPr>
          <w:rtl/>
        </w:rPr>
      </w:pPr>
    </w:p>
    <w:p w:rsidR="008F31B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29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297" inset="0,0,0,0">
              <w:txbxContent>
                <w:p w:rsidR="002E24D9" w:rsidRDefault="002E24D9">
                  <w:r>
                    <w:rPr>
                      <w:rtl/>
                    </w:rPr>
                    <w:t>211                                         ספר החוקים 1395                   ו' בניסן התשנ"ב 09.04.1992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98" o:spid="_x0000_s1026" type="#_x0000_t202" style="position:absolute;left:0;text-align:left;margin-left:170.95pt;margin-top:668.25pt;width:373.65pt;height:61.95pt;z-index:3;mso-position-horizontal-relative:page;mso-position-vertical-relative:page" stroked="f">
            <v:textbox style="mso-next-textbox:#_x0000_s51298" inset="0,0,0,0">
              <w:txbxContent>
                <w:p w:rsidR="002E24D9" w:rsidRDefault="002E24D9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כאדר ב' התשנ"ב (18 במרס 1992): הצעת החוק ודברי הסבר פורסמו בהצעות חוק 2060, מיום</w:t>
                  </w:r>
                </w:p>
                <w:p w:rsidR="002E24D9" w:rsidRDefault="002E24D9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י"ב בתמוז התשנ"א (24 ביוני 1991), בעמ' 247.</w:t>
                  </w:r>
                </w:p>
                <w:p w:rsidR="002E24D9" w:rsidRPr="008F31B3" w:rsidRDefault="002E24D9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1 ס"ח התשי"א, עמ' 78: התשנ"א, עמ' 140.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99" o:spid="_x0000_s1027" type="#_x0000_t202" style="position:absolute;left:0;text-align:left;margin-left:106.4pt;margin-top:274.8pt;width:438.15pt;height:389.05pt;z-index:2;mso-position-horizontal-relative:page;mso-position-vertical-relative:page" stroked="f">
            <v:textbox style="mso-next-textbox:#_x0000_s51299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9"/>
                    <w:gridCol w:w="6818"/>
                  </w:tblGrid>
                  <w:tr w:rsidR="002E24D9" w:rsidRPr="008F31B3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2E24D9" w:rsidRPr="008F31B3" w:rsidRDefault="002E2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2E24D9" w:rsidRDefault="002E2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ההתגוננות האזרחית, התשי"א-1951 1 (להלן - החוק העיקרי), בסעיף 14 -</w:t>
                        </w:r>
                      </w:p>
                      <w:p w:rsidR="002E24D9" w:rsidRDefault="002E2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(ז) -</w:t>
                        </w:r>
                      </w:p>
                      <w:p w:rsidR="002E24D9" w:rsidRDefault="002E2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בסוף פסקה (1), כמקום "שתנאי המקום שבו נמצאים הבתים מרשים זאת"</w:t>
                        </w:r>
                      </w:p>
                      <w:p w:rsidR="002E24D9" w:rsidRDefault="002E2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"שתנאי המקום או נסיבות אחרות מצדיקים זאת: ניתן פטור כאמור בפסקה זו</w:t>
                        </w:r>
                      </w:p>
                      <w:p w:rsidR="002E24D9" w:rsidRDefault="002E2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מבלי לחייב הקמת מקלט משותף, יחולו הוראות פסקה (3), בשינויים המחוייבים";</w:t>
                        </w:r>
                      </w:p>
                      <w:p w:rsidR="002E24D9" w:rsidRDefault="002E2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פסקה (2) יבוא:</w:t>
                        </w:r>
                      </w:p>
                      <w:p w:rsidR="002E24D9" w:rsidRDefault="002E2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לפטור מפעל מהחובה להתקין מקלט נפרד לאותו מפעל, אם יתקין, יחד</w:t>
                        </w:r>
                      </w:p>
                      <w:p w:rsidR="002E24D9" w:rsidRDefault="002E2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בעל מפעל אחר, מקלט משותף, ובלבד שתנאי המקום שבו נמצאים</w:t>
                        </w:r>
                      </w:p>
                      <w:p w:rsidR="002E24D9" w:rsidRDefault="002E2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המפעלים מרשים זאת."</w:t>
                        </w:r>
                      </w:p>
                      <w:p w:rsidR="002E24D9" w:rsidRDefault="002E2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פסקה (3) יבוא:</w:t>
                        </w:r>
                      </w:p>
                      <w:p w:rsidR="002E24D9" w:rsidRDefault="002E2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לפטור בעל בית או בעל מפעל, המקים בבית או במפעל תוספת מבנה,</w:t>
                        </w:r>
                      </w:p>
                      <w:p w:rsidR="002E24D9" w:rsidRDefault="002E2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מהחובה להתקין מקלט או להגדיל את המקלט הקיים אם הוכח, להנחת דעתה,</w:t>
                        </w:r>
                      </w:p>
                      <w:p w:rsidR="002E24D9" w:rsidRDefault="002E2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מאלה:</w:t>
                        </w:r>
                      </w:p>
                      <w:p w:rsidR="002E24D9" w:rsidRDefault="002E2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לא ניתן להקים או להגדיל מקלט קיים בנכס שבו מבוקשת</w:t>
                        </w:r>
                      </w:p>
                      <w:p w:rsidR="002E24D9" w:rsidRDefault="002E2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הבניה, ובלבד שמגיש הבקשה השתתף בקרן שכספיה יועדו</w:t>
                        </w:r>
                      </w:p>
                      <w:p w:rsidR="002E24D9" w:rsidRDefault="002E2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להקמת מקלטים ציבוריים, שיפורם או הגדלתם (להלן - הקרן),</w:t>
                        </w:r>
                      </w:p>
                      <w:p w:rsidR="002E24D9" w:rsidRDefault="002E2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ושההוראות בדבר כינונה, המקורות הכספיים שלה ונוהלי הפיקוח</w:t>
                        </w:r>
                      </w:p>
                      <w:p w:rsidR="002E24D9" w:rsidRDefault="002E2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פעולותיה, ייקבעו בתקנות לפי סעיף 27(ב)(6); סכום ההשתת-</w:t>
                        </w:r>
                      </w:p>
                      <w:p w:rsidR="002E24D9" w:rsidRDefault="002E2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פות בקרן לא יעלה על עלות הקמת המקלט בנכס או הגדלתו;</w:t>
                        </w:r>
                      </w:p>
                      <w:p w:rsidR="002E24D9" w:rsidRDefault="002E2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תנאי המקום או נסיבות אחרות מצדיקים מתן פטור, ובין</w:t>
                        </w:r>
                      </w:p>
                      <w:p w:rsidR="002E24D9" w:rsidRDefault="002E2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השאר, שבאותו בית או מפעל, יש מקלט שיוכל לשמש מחסה גם</w:t>
                        </w:r>
                      </w:p>
                      <w:p w:rsidR="002E24D9" w:rsidRDefault="002E2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למחזיקים בתוספת המבנה, לעובדים בה ולרגילים לבקר בה,</w:t>
                        </w:r>
                      </w:p>
                      <w:p w:rsidR="002E24D9" w:rsidRDefault="002E2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ושתהיה להם גישה נוחה אל המקלט; פטור לפי פסקת משנה זו יכול</w:t>
                        </w:r>
                      </w:p>
                      <w:p w:rsidR="002E24D9" w:rsidRDefault="002E2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שיהא מותנה בהשתתפות בקרן כאמור בפסקת משנה (א), בהתאם</w:t>
                        </w:r>
                      </w:p>
                      <w:p w:rsidR="002E24D9" w:rsidRPr="008F31B3" w:rsidRDefault="002E24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לתנאים שייקבעו בתקנות.</w:t>
                        </w:r>
                      </w:p>
                    </w:tc>
                  </w:tr>
                </w:tbl>
                <w:p w:rsidR="002E24D9" w:rsidRDefault="002E24D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300" o:spid="_x0000_s1028" type="#_x0000_t202" style="position:absolute;left:0;text-align:left;margin-left:216.45pt;margin-top:244.7pt;width:287.7pt;height:27.5pt;z-index:1;mso-position-horizontal-relative:page;mso-position-vertical-relative:page" stroked="f">
            <v:textbox style="mso-next-textbox:#_x0000_s51300" inset="0,0,0,0">
              <w:txbxContent>
                <w:p w:rsidR="002E24D9" w:rsidRPr="008F31B3" w:rsidRDefault="002E24D9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חוק ההתגוננות האזרחית (תיקון מס' 7), התשנ"ב-1992 *</w:t>
                  </w:r>
                </w:p>
              </w:txbxContent>
            </v:textbox>
            <w10:wrap anchorx="page" anchory="page"/>
          </v:shape>
        </w:pict>
      </w:r>
    </w:p>
    <w:p w:rsidR="002E24D9" w:rsidRDefault="002E24D9">
      <w:pPr>
        <w:rPr>
          <w:rtl/>
        </w:rPr>
      </w:pPr>
      <w:r>
        <w:rPr>
          <w:rtl/>
        </w:rPr>
        <w:br w:type="page"/>
      </w:r>
    </w:p>
    <w:p w:rsidR="002E24D9" w:rsidRDefault="00000000">
      <w:pPr>
        <w:rPr>
          <w:rtl/>
        </w:rPr>
      </w:pPr>
      <w:r>
        <w:pict>
          <v:shape id="_x0000_s5130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1301" inset="0,0,0,0">
              <w:txbxContent>
                <w:p w:rsidR="002E24D9" w:rsidRDefault="002E24D9">
                  <w:r>
                    <w:rPr>
                      <w:rtl/>
                    </w:rPr>
                    <w:t>212                                         ספר החוקים 1395                   ו' בניסן התשנ"ב 09.04.1992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02" o:spid="_x0000_s1030" type="#_x0000_t202" style="position:absolute;left:0;text-align:left;margin-left:96.5pt;margin-top:714.75pt;width:226.9pt;height:41.4pt;z-index:9;mso-position-horizontal-relative:page;mso-position-vertical-relative:page" stroked="f">
            <v:textbox style="mso-next-textbox:#_x0000_s51302" inset="0,0,0,0">
              <w:txbxContent>
                <w:p w:rsidR="002E24D9" w:rsidRDefault="002E24D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1303" o:spid="_x0000_s1031" type="#_x0000_t202" style="position:absolute;left:0;text-align:left;margin-left:115.5pt;margin-top:346.1pt;width:71.7pt;height:37.05pt;z-index:8;mso-position-horizontal-relative:page;mso-position-vertical-relative:page" stroked="f">
            <v:textbox style="mso-next-textbox:#_x0000_s51303" inset="0,0,0,0">
              <w:txbxContent>
                <w:p w:rsidR="002E24D9" w:rsidRDefault="002E24D9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משה אר נס</w:t>
                  </w:r>
                </w:p>
                <w:p w:rsidR="002E24D9" w:rsidRDefault="002E24D9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שר הכטחון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04" o:spid="_x0000_s1032" type="#_x0000_t202" style="position:absolute;left:0;text-align:left;margin-left:199.65pt;margin-top:371.65pt;width:80.8pt;height:36.25pt;z-index:7;mso-position-horizontal-relative:page;mso-position-vertical-relative:page" stroked="f">
            <v:textbox style="mso-next-textbox:#_x0000_s51304" inset="0,0,0,0">
              <w:txbxContent>
                <w:p w:rsidR="002E24D9" w:rsidRDefault="002E24D9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2E24D9" w:rsidRDefault="002E24D9">
                  <w:pPr>
                    <w:pStyle w:val="OCRStyle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05" o:spid="_x0000_s1033" type="#_x0000_t202" style="position:absolute;left:0;text-align:left;margin-left:299.45pt;margin-top:351.85pt;width:89.9pt;height:26.35pt;z-index:6;mso-position-horizontal-relative:page;mso-position-vertical-relative:page" stroked="f">
            <v:textbox style="mso-next-textbox:#_x0000_s51305" inset="0,0,0,0">
              <w:txbxContent>
                <w:p w:rsidR="002E24D9" w:rsidRDefault="002E24D9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2E24D9" w:rsidRPr="002E24D9" w:rsidRDefault="002E24D9">
                  <w:pPr>
                    <w:pStyle w:val="OCRStyle2"/>
                    <w:ind w:left="3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06" o:spid="_x0000_s1034" type="#_x0000_t202" style="position:absolute;left:0;text-align:left;margin-left:105.6pt;margin-top:81.15pt;width:458.75pt;height:263.95pt;z-index:5;mso-position-horizontal-relative:page;mso-position-vertical-relative:page" stroked="f">
            <v:textbox style="mso-next-textbox:#_x0000_s5130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58"/>
                    <w:gridCol w:w="1483"/>
                  </w:tblGrid>
                  <w:tr w:rsidR="002E24D9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2E24D9" w:rsidRDefault="002E24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בעל-בית או בעל-מפעל, לפי הענין, רשאי לעדור למועצה המחוזית שי-</w:t>
                        </w:r>
                      </w:p>
                      <w:p w:rsidR="002E24D9" w:rsidRDefault="002E24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הג"א על החלטת הרשות שלא ליתן פטור לפי סעיף זה, תוך 15 ימים מהיום</w:t>
                        </w:r>
                      </w:p>
                      <w:p w:rsidR="002E24D9" w:rsidRDefault="002E24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שנמסרה לו ההודעה בדבר החלטה כאמור. בערר לפי סעיף זה יחולו הוראות</w:t>
                        </w:r>
                      </w:p>
                      <w:p w:rsidR="002E24D9" w:rsidRDefault="002E24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 (ד), בשינויים המחוייבים"</w:t>
                        </w:r>
                      </w:p>
                      <w:p w:rsidR="002E24D9" w:rsidRDefault="002E24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(ח) יבוא</w:t>
                        </w:r>
                      </w:p>
                      <w:p w:rsidR="002E24D9" w:rsidRDefault="002E24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הורתה הרשות המקומית בכתב שיותקן מקלט משותף לבתים אחדים אי</w:t>
                        </w:r>
                      </w:p>
                      <w:p w:rsidR="002E24D9" w:rsidRDefault="002E24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למפעלים אחדים, יחולו הוראות סעיף זה על בעלי הבתים או בעלי המפעלים כאילו</w:t>
                        </w:r>
                      </w:p>
                      <w:p w:rsidR="002E24D9" w:rsidRDefault="002E24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בעליו המשותפים של בית או של מפעל שחובה להתקין מקלט בו או בסמוך לו "</w:t>
                        </w:r>
                      </w:p>
                      <w:p w:rsidR="002E24D9" w:rsidRDefault="002E24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(יב&gt; יבוא</w:t>
                        </w:r>
                      </w:p>
                      <w:p w:rsidR="002E24D9" w:rsidRPr="002E24D9" w:rsidRDefault="002E24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"(יג) בסעיף זה, "הגדלה" - לרבות התקנת מערכת אוורור וסינון'</w:t>
                        </w:r>
                      </w:p>
                    </w:tc>
                    <w:tc>
                      <w:tcPr>
                        <w:tcW w:w="889" w:type="pct"/>
                      </w:tcPr>
                      <w:p w:rsidR="002E24D9" w:rsidRDefault="002E24D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E24D9" w:rsidRPr="002E24D9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2E24D9" w:rsidRDefault="002E24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27(ב) לחול, העיקרי, אחרי פסקה (5) יבוא.</w:t>
                        </w:r>
                      </w:p>
                      <w:p w:rsidR="002E24D9" w:rsidRDefault="002E24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התנאים והכללים בדבר מתן פטור מהקמת מקלט או הגדלתו כאמור בסעיף 14(ז).</w:t>
                        </w:r>
                      </w:p>
                      <w:p w:rsidR="002E24D9" w:rsidRDefault="002E24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כינון קרן כאמור בסעיף 14(ז)(3)."</w:t>
                        </w:r>
                      </w:p>
                    </w:tc>
                    <w:tc>
                      <w:tcPr>
                        <w:tcW w:w="889" w:type="pct"/>
                      </w:tcPr>
                      <w:p w:rsidR="002E24D9" w:rsidRPr="002E24D9" w:rsidRDefault="002E24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</w:tr>
                  <w:tr w:rsidR="002E24D9" w:rsidRPr="002E24D9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2E24D9" w:rsidRPr="002E24D9" w:rsidRDefault="002E24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חוק זה יפורסם תוך שלושים ימים מיום קבלתו.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2E24D9" w:rsidRPr="002E24D9" w:rsidRDefault="002E24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פרסים</w:t>
                        </w:r>
                      </w:p>
                    </w:tc>
                  </w:tr>
                </w:tbl>
                <w:p w:rsidR="002E24D9" w:rsidRDefault="002E24D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F31B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31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398F22-615D-4D11-BECE-185058CBA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F31B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E24D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2008-04-07T13:12:00Z</dcterms:created>
  <dcterms:modified xsi:type="dcterms:W3CDTF">2008-04-07T13:12:00Z</dcterms:modified>
</cp:coreProperties>
</file>