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6350" w:rsidRDefault="00C46350">
      <w:pPr>
        <w:rPr>
          <w:rtl/>
        </w:rPr>
      </w:pPr>
    </w:p>
    <w:p w:rsidR="00C463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5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357" inset="0,0,0,0">
              <w:txbxContent>
                <w:p w:rsidR="00C46350" w:rsidRDefault="00C46350">
                  <w:r>
                    <w:rPr>
                      <w:rtl/>
                    </w:rPr>
                    <w:t>120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8" o:spid="_x0000_s1026" type="#_x0000_t202" style="position:absolute;left:0;text-align:left;margin-left:79pt;margin-top:657.25pt;width:383.15pt;height:93.05pt;z-index:7;mso-position-horizontal-relative:page;mso-position-vertical-relative:page" stroked="f">
            <v:textbox style="mso-next-textbox:#_x0000_s51358" inset="0,0,0,0">
              <w:txbxContent>
                <w:p w:rsidR="00C46350" w:rsidRDefault="00C4635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התשנ"א (18 במרס 1991): הצעת החוק ודברי הסבר פורסמו בהצעות חוק 1885, מיום י"ב</w:t>
                  </w:r>
                </w:p>
                <w:p w:rsidR="00C46350" w:rsidRDefault="00C46350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בתמוז התשמ"ח (27 ביוני 1988), עמ' 202.</w:t>
                  </w:r>
                </w:p>
                <w:p w:rsidR="00C46350" w:rsidRPr="00C46350" w:rsidRDefault="00C46350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"חס התשמ"ג,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9" o:spid="_x0000_s1027" type="#_x0000_t202" style="position:absolute;left:0;text-align:left;margin-left:80.8pt;margin-top:589.35pt;width:99pt;height:31.7pt;z-index:6;mso-position-horizontal-relative:page;mso-position-vertical-relative:page" stroked="f">
            <v:textbox style="mso-next-textbox:#_x0000_s51359" inset="0,0,0,0">
              <w:txbxContent>
                <w:p w:rsidR="00C46350" w:rsidRDefault="00C4635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אבנר חי שאקי</w:t>
                  </w:r>
                </w:p>
                <w:p w:rsidR="00C46350" w:rsidRDefault="00C46350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60" o:spid="_x0000_s1028" type="#_x0000_t202" style="position:absolute;left:0;text-align:left;margin-left:180.6pt;margin-top:615.1pt;width:89.5pt;height:31.9pt;z-index:5;mso-position-horizontal-relative:page;mso-position-vertical-relative:page" stroked="f">
            <v:textbox style="mso-next-textbox:#_x0000_s51360" inset="0,0,0,0">
              <w:txbxContent>
                <w:p w:rsidR="00C46350" w:rsidRDefault="00C46350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46350" w:rsidRDefault="00C4635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61" o:spid="_x0000_s1029" type="#_x0000_t202" style="position:absolute;left:0;text-align:left;margin-left:375pt;margin-top:622pt;width:87.9pt;height:26.75pt;z-index:4;mso-position-horizontal-relative:page;mso-position-vertical-relative:page" stroked="f">
            <v:textbox style="mso-next-textbox:#_x0000_s51361" inset="0,0,0,0">
              <w:txbxContent>
                <w:p w:rsidR="00C46350" w:rsidRDefault="00C46350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46350" w:rsidRDefault="00C46350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62" o:spid="_x0000_s1030" type="#_x0000_t202" style="position:absolute;left:0;text-align:left;margin-left:289.85pt;margin-top:590.15pt;width:65.35pt;height:30.9pt;z-index:3;mso-position-horizontal-relative:page;mso-position-vertical-relative:page" stroked="f">
            <v:textbox style="mso-next-textbox:#_x0000_s51362" inset="0,0,0,0">
              <w:txbxContent>
                <w:p w:rsidR="00C46350" w:rsidRDefault="00C46350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46350" w:rsidRDefault="00C46350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63" o:spid="_x0000_s1031" type="#_x0000_t202" style="position:absolute;left:0;text-align:left;margin-left:79pt;margin-top:486pt;width:466.5pt;height:94.65pt;z-index:2;mso-position-horizontal-relative:page;mso-position-vertical-relative:page" stroked="f">
            <v:textbox style="mso-next-textbox:#_x0000_s5136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5"/>
                    <w:gridCol w:w="1598"/>
                  </w:tblGrid>
                  <w:tr w:rsidR="00C46350" w:rsidRPr="00C46350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C46350" w:rsidRDefault="00C4635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האמור בסעיף 17 לחוק איסור הונאה בכשרות, התשמ"ג-11983, יסומן (א) ואחריו יבוא:</w:t>
                        </w:r>
                      </w:p>
                      <w:p w:rsidR="00C46350" w:rsidRDefault="00C463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לעניני דתות רשאי, בהסכמת שר האוצר, ובאישור ועדת הכלכלה של</w:t>
                        </w:r>
                      </w:p>
                      <w:p w:rsidR="00C46350" w:rsidRDefault="00C463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לקבוע אגרה עבור בקשה למתן תעודת הכשר לפי סעיף 2 (א10) למצרך</w:t>
                        </w:r>
                      </w:p>
                      <w:p w:rsidR="00C46350" w:rsidRDefault="00C463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המיובא לשם מכירתו או הצעתו למכירה, בציון שהוא כשר; האגרה תהיה בסכום</w:t>
                        </w:r>
                      </w:p>
                      <w:p w:rsidR="00C46350" w:rsidRDefault="00C463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קצוב, או בסכום שיחושב בדרך שתיקבע</w:t>
                        </w:r>
                        <w:r>
                          <w:t>L</w:t>
                        </w:r>
                        <w:r>
                          <w:rPr>
                            <w:rtl/>
                          </w:rPr>
                          <w:t xml:space="preserve"> כל אלה - בשים לב לשירות הנדרש לשם</w:t>
                        </w:r>
                      </w:p>
                      <w:p w:rsidR="00C46350" w:rsidRPr="00C46350" w:rsidRDefault="00C463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תעודת ההכשר."</w:t>
                        </w:r>
                      </w:p>
                    </w:tc>
                    <w:tc>
                      <w:tcPr>
                        <w:tcW w:w="942" w:type="pct"/>
                      </w:tcPr>
                      <w:p w:rsidR="00C46350" w:rsidRPr="00C46350" w:rsidRDefault="00C463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C46350" w:rsidRDefault="00C463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64" o:spid="_x0000_s1032" type="#_x0000_t202" style="position:absolute;left:0;text-align:left;margin-left:112.45pt;margin-top:463.6pt;width:294.45pt;height:21.4pt;z-index:1;mso-position-horizontal-relative:page;mso-position-vertical-relative:page" stroked="f">
            <v:textbox style="mso-next-textbox:#_x0000_s51364" inset="0,0,0,0">
              <w:txbxContent>
                <w:p w:rsidR="00C46350" w:rsidRPr="00C46350" w:rsidRDefault="00C46350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הונאה בכשרות (תיקון), התשנ"א-1991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463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0D1EFF-05B5-4DC8-836F-9D8D2353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635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2008-04-07T12:44:00Z</dcterms:created>
  <dcterms:modified xsi:type="dcterms:W3CDTF">2008-04-07T12:44:00Z</dcterms:modified>
</cp:coreProperties>
</file>