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0EEB" w:rsidRDefault="00020EEB">
      <w:pPr>
        <w:rPr>
          <w:rtl/>
        </w:rPr>
      </w:pPr>
    </w:p>
    <w:p w:rsidR="00020E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452" inset="0,0,0,0">
              <w:txbxContent>
                <w:p w:rsidR="004353F2" w:rsidRDefault="004353F2">
                  <w:r>
                    <w:rPr>
                      <w:rtl/>
                    </w:rPr>
                    <w:t>113                                         ספר החוקים 1349                   ו' בניסן התשנ"א 21.03.1991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3" o:spid="_x0000_s1026" type="#_x0000_t202" style="position:absolute;left:0;text-align:left;margin-left:163.35pt;margin-top:691.25pt;width:383.9pt;height:72.25pt;z-index:3;mso-position-horizontal-relative:page;mso-position-vertical-relative:page" stroked="f">
            <v:textbox style="mso-next-textbox:#_x0000_s51453" inset="0,0,0,0">
              <w:txbxContent>
                <w:p w:rsidR="004353F2" w:rsidRDefault="004353F2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התשנ"א (12 במרס 1991): הצעת החוק ודברי הסבר פורסמו בהצעות חוק 2033, מיום כ"ז</w:t>
                  </w:r>
                </w:p>
                <w:p w:rsidR="004353F2" w:rsidRDefault="004353F2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בשבט התשנ"א (11 בפברואר 1991), עמ' 132.</w:t>
                  </w:r>
                </w:p>
                <w:p w:rsidR="004353F2" w:rsidRPr="00020EEB" w:rsidRDefault="004353F2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התש"ם,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4" o:spid="_x0000_s1027" type="#_x0000_t202" style="position:absolute;left:0;text-align:left;margin-left:103.15pt;margin-top:502.55pt;width:441.55pt;height:180.75pt;z-index:2;mso-position-horizontal-relative:page;mso-position-vertical-relative:page" stroked="f">
            <v:textbox style="mso-next-textbox:#_x0000_s5145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6979"/>
                  </w:tblGrid>
                  <w:tr w:rsidR="004353F2" w:rsidRPr="00020EE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4353F2" w:rsidRPr="00020EEB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על אף האמור בחוק הרבנות הראשית לישראל, התש"ם-1980 1 (להלן - החוק העיקרי), או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 -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הבחירות לחברי המועצה הנבחרים ייערכו ביום י"ד באב התשנ"א (25 ביולי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1991);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לעניני דתות, לאחר התייעצות עם שר המשפטים, ובאישור ועדת החוקה,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יתקין תקנות בכל הנוגע לביצוע בחירות אלו, לרבות סדרי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הזמנים לכינון ועדת הבחירות ופעילותה על פי כל דין- התקנות תפורסמנה לא יאוחר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י"ג בסיון התשנ"א (26 במאי 1991).</w:t>
                        </w:r>
                      </w:p>
                      <w:p w:rsidR="004353F2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חברי המועצה כאמור בסעיף 4(א)(2) ו-(3) לחוק העיקרי, המכהנים כחברי</w:t>
                        </w:r>
                      </w:p>
                      <w:p w:rsidR="004353F2" w:rsidRPr="00020EEB" w:rsidRDefault="004353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ערב תחילתו של חוק זה, יוסיפו לכהן עד יום הבחירות כאמור בפסקה (1).</w:t>
                        </w:r>
                      </w:p>
                    </w:tc>
                  </w:tr>
                </w:tbl>
                <w:p w:rsidR="004353F2" w:rsidRDefault="004353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55" o:spid="_x0000_s1028" type="#_x0000_t202" style="position:absolute;left:0;text-align:left;margin-left:195.25pt;margin-top:467.3pt;width:317.6pt;height:30.1pt;z-index:1;mso-position-horizontal-relative:page;mso-position-vertical-relative:page" stroked="f">
            <v:textbox style="mso-next-textbox:#_x0000_s51455" inset="0,0,0,0">
              <w:txbxContent>
                <w:p w:rsidR="004353F2" w:rsidRPr="00020EEB" w:rsidRDefault="004353F2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הרבנות הראשית לישראל (הוראת שעה), התשנ"א-1991*</w:t>
                  </w:r>
                </w:p>
              </w:txbxContent>
            </v:textbox>
            <w10:wrap anchorx="page" anchory="page"/>
          </v:shape>
        </w:pict>
      </w:r>
    </w:p>
    <w:p w:rsidR="004353F2" w:rsidRDefault="004353F2">
      <w:pPr>
        <w:rPr>
          <w:rtl/>
        </w:rPr>
      </w:pPr>
      <w:r>
        <w:rPr>
          <w:rtl/>
        </w:rPr>
        <w:br w:type="page"/>
      </w:r>
    </w:p>
    <w:p w:rsidR="004353F2" w:rsidRDefault="00000000">
      <w:pPr>
        <w:rPr>
          <w:rtl/>
        </w:rPr>
      </w:pPr>
      <w:r>
        <w:pict>
          <v:shape id="_x0000_s51456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456" inset="0,0,0,0">
              <w:txbxContent>
                <w:p w:rsidR="004353F2" w:rsidRDefault="004353F2">
                  <w:r>
                    <w:rPr>
                      <w:rtl/>
                    </w:rPr>
                    <w:t>114                                         ספר החוקים 1349                   ו' בניסן התשנ"א 21.03.1991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7" o:spid="_x0000_s1030" type="#_x0000_t202" style="position:absolute;left:0;text-align:left;margin-left:87.9pt;margin-top:712.4pt;width:203.15pt;height:49.1pt;z-index:10;mso-position-horizontal-relative:page;mso-position-vertical-relative:page" stroked="f">
            <v:textbox style="mso-next-textbox:#_x0000_s51457" inset="0,0,0,0">
              <w:txbxContent>
                <w:p w:rsidR="004353F2" w:rsidRDefault="004353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458" o:spid="_x0000_s1031" type="#_x0000_t202" style="position:absolute;left:0;text-align:left;margin-left:96.4pt;margin-top:115.05pt;width:89.5pt;height:33.45pt;z-index:9;mso-position-horizontal-relative:page;mso-position-vertical-relative:page" stroked="f">
            <v:textbox style="mso-next-textbox:#_x0000_s51458" inset="0,0,0,0">
              <w:txbxContent>
                <w:p w:rsidR="004353F2" w:rsidRDefault="004353F2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אבנר שאקי</w:t>
                  </w:r>
                </w:p>
                <w:p w:rsidR="004353F2" w:rsidRDefault="004353F2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השר לעניני 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59" o:spid="_x0000_s1032" type="#_x0000_t202" style="position:absolute;left:0;text-align:left;margin-left:192.8pt;margin-top:146.9pt;width:87.9pt;height:32.65pt;z-index:8;mso-position-horizontal-relative:page;mso-position-vertical-relative:page" stroked="f">
            <v:textbox style="mso-next-textbox:#_x0000_s51459" inset="0,0,0,0">
              <w:txbxContent>
                <w:p w:rsidR="004353F2" w:rsidRDefault="004353F2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353F2" w:rsidRDefault="004353F2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0" o:spid="_x0000_s1033" type="#_x0000_t202" style="position:absolute;left:0;text-align:left;margin-left:293.6pt;margin-top:117.6pt;width:77.4pt;height:30.1pt;z-index:7;mso-position-horizontal-relative:page;mso-position-vertical-relative:page" stroked="f">
            <v:textbox style="mso-next-textbox:#_x0000_s51460" inset="0,0,0,0">
              <w:txbxContent>
                <w:p w:rsidR="004353F2" w:rsidRDefault="004353F2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353F2" w:rsidRDefault="004353F2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1" o:spid="_x0000_s1034" type="#_x0000_t202" style="position:absolute;left:0;text-align:left;margin-left:383.1pt;margin-top:142.55pt;width:78.4pt;height:37.8pt;z-index:6;mso-position-horizontal-relative:page;mso-position-vertical-relative:page" stroked="f">
            <v:textbox style="mso-next-textbox:#_x0000_s51461" inset="0,0,0,0">
              <w:txbxContent>
                <w:p w:rsidR="004353F2" w:rsidRDefault="004353F2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353F2" w:rsidRDefault="004353F2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62" o:spid="_x0000_s1035" type="#_x0000_t202" style="position:absolute;left:0;text-align:left;margin-left:262.5pt;margin-top:84.95pt;width:289.3pt;height:28.3pt;z-index:5;mso-position-horizontal-relative:page;mso-position-vertical-relative:page" stroked="f">
            <v:textbox style="mso-next-textbox:#_x0000_s51462" inset="0,0,0,0">
              <w:txbxContent>
                <w:tbl>
                  <w:tblPr>
                    <w:tblW w:w="43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982"/>
                    <w:gridCol w:w="1278"/>
                  </w:tblGrid>
                  <w:tr w:rsidR="004353F2" w:rsidRPr="004353F2">
                    <w:trPr>
                      <w:jc w:val="right"/>
                    </w:trPr>
                    <w:tc>
                      <w:tcPr>
                        <w:tcW w:w="3785" w:type="pct"/>
                      </w:tcPr>
                      <w:p w:rsidR="004353F2" w:rsidRDefault="004353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1215" w:type="pct"/>
                      </w:tcPr>
                      <w:p w:rsidR="004353F2" w:rsidRPr="004353F2" w:rsidRDefault="004353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353F2" w:rsidRDefault="004353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20E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56D4C6-287E-4894-9636-877FD230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0EE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353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2008-04-07T12:43:00Z</dcterms:created>
  <dcterms:modified xsi:type="dcterms:W3CDTF">2008-04-07T12:43:00Z</dcterms:modified>
</cp:coreProperties>
</file>