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4F66BA" w:rsidRDefault="004F66BA">
      <w:pPr>
        <w:rPr>
          <w:rtl/>
        </w:rPr>
      </w:pPr>
    </w:p>
    <w:p w:rsidR="004F66BA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51521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51521" inset="0,0,0,0">
              <w:txbxContent>
                <w:p w:rsidR="002154B5" w:rsidRDefault="002154B5">
                  <w:r>
                    <w:rPr>
                      <w:rtl/>
                    </w:rPr>
                    <w:t>117                                         ספר החוקים 1350                  י"א בניסן התשנ"א 26.03.1991</w:t>
                  </w:r>
                </w:p>
              </w:txbxContent>
            </v:textbox>
            <w10:wrap anchorx="page" anchory="page"/>
          </v:shape>
        </w:pict>
      </w:r>
      <w:r>
        <w:pict>
          <v:shape id="_x0000_s51522" o:spid="_x0000_s1026" type="#_x0000_t202" style="position:absolute;left:0;text-align:left;margin-left:163pt;margin-top:680.7pt;width:394.2pt;height:57.8pt;z-index:3;mso-position-horizontal-relative:page;mso-position-vertical-relative:page" stroked="f">
            <v:textbox style="mso-next-textbox:#_x0000_s51522" inset="0,0,0,0">
              <w:txbxContent>
                <w:p w:rsidR="002154B5" w:rsidRDefault="002154B5">
                  <w:pPr>
                    <w:pStyle w:val="OCRStyle1"/>
                    <w:ind w:left="259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ד' בניסן התשנ"א (19 במרס 1991); הצעת החוק ודברי הסבר פורסמו בהצעות חוק 1992, מיום כ"ב</w:t>
                  </w:r>
                </w:p>
                <w:p w:rsidR="002154B5" w:rsidRDefault="002154B5">
                  <w:pPr>
                    <w:pStyle w:val="OCRStyle1"/>
                    <w:ind w:left="464"/>
                    <w:rPr>
                      <w:rtl/>
                    </w:rPr>
                  </w:pPr>
                  <w:r>
                    <w:rPr>
                      <w:rtl/>
                    </w:rPr>
                    <w:t>באייר התש"ן (17 במאי 1990), עמ' 194.</w:t>
                  </w:r>
                </w:p>
                <w:p w:rsidR="002154B5" w:rsidRPr="004F66BA" w:rsidRDefault="002154B5">
                  <w:pPr>
                    <w:pStyle w:val="OCRStyle1"/>
                    <w:ind w:left="259"/>
                  </w:pPr>
                  <w:r>
                    <w:rPr>
                      <w:rtl/>
                    </w:rPr>
                    <w:t>1 ס"ח התשכ"ט, עמ' 259; התשנ"א, עמ' 117.</w:t>
                  </w:r>
                </w:p>
              </w:txbxContent>
            </v:textbox>
            <w10:wrap anchorx="page" anchory="page"/>
          </v:shape>
        </w:pict>
      </w:r>
      <w:r>
        <w:pict>
          <v:shape id="_x0000_s51523" o:spid="_x0000_s1027" type="#_x0000_t202" style="position:absolute;left:0;text-align:left;margin-left:125.95pt;margin-top:604.1pt;width:427.9pt;height:72.45pt;z-index:2;mso-position-horizontal-relative:page;mso-position-vertical-relative:page" stroked="f">
            <v:textbox style="mso-next-textbox:#_x0000_s51523" inset="0,0,0,0">
              <w:txbxContent>
                <w:tbl>
                  <w:tblPr>
                    <w:tblW w:w="442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81"/>
                    <w:gridCol w:w="6997"/>
                  </w:tblGrid>
                  <w:tr w:rsidR="002154B5" w:rsidRPr="004F66BA">
                    <w:trPr>
                      <w:jc w:val="right"/>
                    </w:trPr>
                    <w:tc>
                      <w:tcPr>
                        <w:tcW w:w="502" w:type="pct"/>
                      </w:tcPr>
                      <w:p w:rsidR="002154B5" w:rsidRPr="004F66BA" w:rsidRDefault="002154B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הגדרות</w:t>
                        </w:r>
                      </w:p>
                    </w:tc>
                    <w:tc>
                      <w:tcPr>
                        <w:tcW w:w="4498" w:type="pct"/>
                      </w:tcPr>
                      <w:p w:rsidR="002154B5" w:rsidRDefault="002154B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 בחוק זה -</w:t>
                        </w:r>
                      </w:p>
                      <w:p w:rsidR="002154B5" w:rsidRDefault="002154B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"חוק המקרקעין" - חוק המקרקעין, התשכ"ט-1969  1;</w:t>
                        </w:r>
                      </w:p>
                      <w:p w:rsidR="002154B5" w:rsidRDefault="002154B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"בית משותף", "בעל דירה", "דירה", "רכוש משותף", "תקנון" ו"מערכת גז מרכזית" -</w:t>
                        </w:r>
                      </w:p>
                      <w:p w:rsidR="002154B5" w:rsidRPr="004F66BA" w:rsidRDefault="002154B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כמשמעותם בחוק המקרקעין.</w:t>
                        </w:r>
                      </w:p>
                    </w:tc>
                  </w:tr>
                </w:tbl>
                <w:p w:rsidR="002154B5" w:rsidRDefault="002154B5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51524" o:spid="_x0000_s1028" type="#_x0000_t202" style="position:absolute;left:0;text-align:left;margin-left:171.5pt;margin-top:580.9pt;width:359.95pt;height:19.8pt;z-index:1;mso-position-horizontal-relative:page;mso-position-vertical-relative:page" stroked="f">
            <v:textbox style="mso-next-textbox:#_x0000_s51524" inset="0,0,0,0">
              <w:txbxContent>
                <w:p w:rsidR="002154B5" w:rsidRPr="004F66BA" w:rsidRDefault="002154B5">
                  <w:pPr>
                    <w:pStyle w:val="OCRStyle1"/>
                    <w:ind w:left="317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המקרקעין (החלפת ספק גז בבית משותף), התשנ"א-1991*</w:t>
                  </w:r>
                </w:p>
              </w:txbxContent>
            </v:textbox>
            <w10:wrap anchorx="page" anchory="page"/>
          </v:shape>
        </w:pict>
      </w:r>
    </w:p>
    <w:p w:rsidR="002154B5" w:rsidRDefault="002154B5">
      <w:pPr>
        <w:rPr>
          <w:rtl/>
        </w:rPr>
      </w:pPr>
      <w:r>
        <w:rPr>
          <w:rtl/>
        </w:rPr>
        <w:br w:type="page"/>
      </w:r>
    </w:p>
    <w:p w:rsidR="002154B5" w:rsidRDefault="00000000">
      <w:pPr>
        <w:rPr>
          <w:rtl/>
        </w:rPr>
      </w:pPr>
      <w:r>
        <w:pict>
          <v:shape id="_x0000_s51525" o:spid="_x0000_s1029" type="#_x0000_t202" style="position:absolute;left:0;text-align:left;margin-left:50pt;margin-top:771.95pt;width:495.35pt;height:30pt;z-index:14;mso-position-horizontal-relative:page;mso-position-vertical-relative:page" stroked="f">
            <v:textbox style="mso-next-textbox:#_x0000_s51525" inset="0,0,0,0">
              <w:txbxContent>
                <w:p w:rsidR="002154B5" w:rsidRDefault="002154B5">
                  <w:r>
                    <w:rPr>
                      <w:rtl/>
                    </w:rPr>
                    <w:t>118                                         ספר החוקים 1350                  י"א בניסן התשנ"א 26.03.1991</w:t>
                  </w:r>
                </w:p>
              </w:txbxContent>
            </v:textbox>
            <w10:wrap anchorx="page" anchory="page"/>
          </v:shape>
        </w:pict>
      </w:r>
      <w:r>
        <w:pict>
          <v:shape id="_x0000_s51526" o:spid="_x0000_s1030" type="#_x0000_t202" style="position:absolute;left:0;text-align:left;margin-left:77.2pt;margin-top:720.3pt;width:197.2pt;height:29.3pt;z-index:13;mso-position-horizontal-relative:page;mso-position-vertical-relative:page" stroked="f">
            <v:textbox style="mso-next-textbox:#_x0000_s51526" inset="0,0,0,0">
              <w:txbxContent>
                <w:p w:rsidR="002154B5" w:rsidRDefault="002154B5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51527" o:spid="_x0000_s1031" type="#_x0000_t202" style="position:absolute;left:0;text-align:left;margin-left:368.3pt;margin-top:689.4pt;width:98pt;height:26.75pt;z-index:12;mso-position-horizontal-relative:page;mso-position-vertical-relative:page" stroked="f">
            <v:textbox style="mso-next-textbox:#_x0000_s51527" inset="0,0,0,0">
              <w:txbxContent>
                <w:p w:rsidR="002154B5" w:rsidRPr="002154B5" w:rsidRDefault="002154B5">
                  <w:pPr>
                    <w:pStyle w:val="OCRStyle2"/>
                    <w:ind w:left="119"/>
                  </w:pPr>
                  <w:r>
                    <w:rPr>
                      <w:rtl/>
                    </w:rPr>
                    <w:t>2 ס"ח התשמ"ט, עמ' 108.</w:t>
                  </w:r>
                </w:p>
              </w:txbxContent>
            </v:textbox>
            <w10:wrap anchorx="page" anchory="page"/>
          </v:shape>
        </w:pict>
      </w:r>
      <w:r>
        <w:pict>
          <v:shape id="_x0000_s51528" o:spid="_x0000_s1032" type="#_x0000_t202" style="position:absolute;left:0;text-align:left;margin-left:93.65pt;margin-top:626.45pt;width:83.35pt;height:31.9pt;z-index:11;mso-position-horizontal-relative:page;mso-position-vertical-relative:page" stroked="f">
            <v:textbox style="mso-next-textbox:#_x0000_s51528" inset="0,0,0,0">
              <w:txbxContent>
                <w:p w:rsidR="002154B5" w:rsidRDefault="002154B5">
                  <w:pPr>
                    <w:pStyle w:val="OCRStyle2"/>
                    <w:ind w:left="270"/>
                    <w:rPr>
                      <w:rtl/>
                    </w:rPr>
                  </w:pPr>
                  <w:r>
                    <w:rPr>
                      <w:rtl/>
                    </w:rPr>
                    <w:t>דן מרידוד</w:t>
                  </w:r>
                </w:p>
                <w:p w:rsidR="002154B5" w:rsidRDefault="002154B5">
                  <w:pPr>
                    <w:pStyle w:val="OCRStyle2"/>
                    <w:ind w:left="227"/>
                  </w:pPr>
                  <w:r>
                    <w:rPr>
                      <w:rtl/>
                    </w:rPr>
                    <w:t>שר המשפטים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51529" o:spid="_x0000_s1033" type="#_x0000_t202" style="position:absolute;left:0;text-align:left;margin-left:180.6pt;margin-top:651.6pt;width:87.7pt;height:32.65pt;z-index:10;mso-position-horizontal-relative:page;mso-position-vertical-relative:page" stroked="f">
            <v:textbox style="mso-next-textbox:#_x0000_s51529" inset="0,0,0,0">
              <w:txbxContent>
                <w:p w:rsidR="002154B5" w:rsidRDefault="002154B5">
                  <w:pPr>
                    <w:pStyle w:val="OCRStyle2"/>
                    <w:ind w:left="180"/>
                    <w:rPr>
                      <w:rtl/>
                    </w:rPr>
                  </w:pPr>
                  <w:r>
                    <w:rPr>
                      <w:rtl/>
                    </w:rPr>
                    <w:t>דב שילנסקי</w:t>
                  </w:r>
                </w:p>
                <w:p w:rsidR="002154B5" w:rsidRDefault="002154B5">
                  <w:pPr>
                    <w:pStyle w:val="OCRStyle2"/>
                    <w:ind w:left="65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51530" o:spid="_x0000_s1034" type="#_x0000_t202" style="position:absolute;left:0;text-align:left;margin-left:367.3pt;margin-top:655.75pt;width:96.45pt;height:31.1pt;z-index:9;mso-position-horizontal-relative:page;mso-position-vertical-relative:page" stroked="f">
            <v:textbox style="mso-next-textbox:#_x0000_s51530" inset="0,0,0,0">
              <w:txbxContent>
                <w:p w:rsidR="002154B5" w:rsidRDefault="002154B5">
                  <w:pPr>
                    <w:pStyle w:val="OCRStyle2"/>
                    <w:ind w:left="295"/>
                    <w:rPr>
                      <w:rtl/>
                    </w:rPr>
                  </w:pPr>
                  <w:r>
                    <w:rPr>
                      <w:rtl/>
                    </w:rPr>
                    <w:t>חיים הרצוג</w:t>
                  </w:r>
                </w:p>
                <w:p w:rsidR="002154B5" w:rsidRDefault="002154B5">
                  <w:pPr>
                    <w:pStyle w:val="OCRStyle2"/>
                    <w:ind w:left="342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51531" o:spid="_x0000_s1035" type="#_x0000_t202" style="position:absolute;left:0;text-align:left;margin-left:289.85pt;margin-top:630pt;width:72.25pt;height:25.75pt;z-index:8;mso-position-horizontal-relative:page;mso-position-vertical-relative:page" stroked="f">
            <v:textbox style="mso-next-textbox:#_x0000_s51531" inset="0,0,0,0">
              <w:txbxContent>
                <w:p w:rsidR="002154B5" w:rsidRDefault="002154B5">
                  <w:pPr>
                    <w:pStyle w:val="OCRStyle2"/>
                    <w:ind w:left="130"/>
                    <w:rPr>
                      <w:rtl/>
                    </w:rPr>
                  </w:pPr>
                  <w:r>
                    <w:rPr>
                      <w:rtl/>
                    </w:rPr>
                    <w:t>יצחק שמיר</w:t>
                  </w:r>
                </w:p>
                <w:p w:rsidR="002154B5" w:rsidRDefault="002154B5">
                  <w:pPr>
                    <w:pStyle w:val="OCRStyle2"/>
                    <w:ind w:left="119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51532" o:spid="_x0000_s1036" type="#_x0000_t202" style="position:absolute;left:0;text-align:left;margin-left:88.5pt;margin-top:283.1pt;width:451.85pt;height:339.95pt;z-index:7;mso-position-horizontal-relative:page;mso-position-vertical-relative:page" stroked="f">
            <v:textbox style="mso-next-textbox:#_x0000_s51532" inset="0,0,0,0">
              <w:txbxContent>
                <w:tbl>
                  <w:tblPr>
                    <w:tblW w:w="443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879"/>
                    <w:gridCol w:w="1336"/>
                  </w:tblGrid>
                  <w:tr w:rsidR="002154B5" w:rsidRPr="002154B5">
                    <w:trPr>
                      <w:jc w:val="right"/>
                    </w:trPr>
                    <w:tc>
                      <w:tcPr>
                        <w:tcW w:w="4187" w:type="pct"/>
                      </w:tcPr>
                      <w:p w:rsidR="002154B5" w:rsidRDefault="002154B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 הודעה על החלטת בעלי הדירות בבית משותף בענין סיום החוזים שנחתמו עם ספק גז או</w:t>
                        </w:r>
                      </w:p>
                      <w:p w:rsidR="002154B5" w:rsidRDefault="002154B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באמצעותו (להלן - הספק היוצא), כאמור בסעיף 59ד (כ) לחוק המקרקעין, תימסר לספק היוצא</w:t>
                        </w:r>
                      </w:p>
                      <w:p w:rsidR="002154B5" w:rsidRDefault="002154B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 ימים מראש.</w:t>
                        </w:r>
                      </w:p>
                    </w:tc>
                    <w:tc>
                      <w:tcPr>
                        <w:tcW w:w="813" w:type="pct"/>
                      </w:tcPr>
                      <w:p w:rsidR="002154B5" w:rsidRDefault="002154B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הודעה על החלפת</w:t>
                        </w:r>
                      </w:p>
                      <w:p w:rsidR="002154B5" w:rsidRPr="002154B5" w:rsidRDefault="002154B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ספק גז</w:t>
                        </w:r>
                      </w:p>
                    </w:tc>
                  </w:tr>
                  <w:tr w:rsidR="002154B5" w:rsidRPr="002154B5">
                    <w:trPr>
                      <w:jc w:val="right"/>
                    </w:trPr>
                    <w:tc>
                      <w:tcPr>
                        <w:tcW w:w="4187" w:type="pct"/>
                      </w:tcPr>
                      <w:p w:rsidR="002154B5" w:rsidRDefault="002154B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(א) הספק היוצא יפרק על חשבונו את מתקני מערכת הגז המרכזית שאינם שייכים לבעלי</w:t>
                        </w:r>
                      </w:p>
                      <w:p w:rsidR="002154B5" w:rsidRDefault="002154B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הדירות, כאמור כסעיף 59ה לחוק המקרקעין, בתוך 30 ימים ממסירת ההודעה, ובלבד שיודיע</w:t>
                        </w:r>
                      </w:p>
                      <w:p w:rsidR="002154B5" w:rsidRDefault="002154B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לבעלי הדירות שלושה ימים מראש על מועד הפירוק.</w:t>
                        </w:r>
                      </w:p>
                      <w:p w:rsidR="002154B5" w:rsidRDefault="002154B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נגרם נזק לרכוש המשותף כתוצאה מפירוק מתקנים כאמור בסעיף קטן (א), על-ידי</w:t>
                        </w:r>
                      </w:p>
                      <w:p w:rsidR="002154B5" w:rsidRDefault="002154B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הספק היוצא, חייב הספק היוצא להחזיר את המצב לקדמותו.</w:t>
                        </w:r>
                      </w:p>
                      <w:p w:rsidR="002154B5" w:rsidRDefault="002154B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לא פירק הספק היוצא את המתקנים כאמור בסעיף קטן (א), רשאים כעלי הדירות</w:t>
                        </w:r>
                      </w:p>
                      <w:p w:rsidR="002154B5" w:rsidRDefault="002154B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לעשות זאת באמצעות ספק הגז שעמו התקשרו, או באמצעות מי שמוסמך לבצע עבודות גז</w:t>
                        </w:r>
                      </w:p>
                      <w:p w:rsidR="002154B5" w:rsidRDefault="002154B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כמשמעותן בחוק הגז (בטיחות ורישוי), התשמ"ט-21989, ובלבד שמכלי הגז והציוד המושאל</w:t>
                        </w:r>
                      </w:p>
                      <w:p w:rsidR="002154B5" w:rsidRDefault="002154B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יועברו לאחר פירוקם למקום המיועד לאחסון ציוד כאמור: והספק היוצא ייטול את המתקנים</w:t>
                        </w:r>
                      </w:p>
                      <w:p w:rsidR="002154B5" w:rsidRPr="002154B5" w:rsidRDefault="002154B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שפורקו תוך 48 שעות ממסירת ההודעה על פירוקם.</w:t>
                        </w:r>
                      </w:p>
                    </w:tc>
                    <w:tc>
                      <w:tcPr>
                        <w:tcW w:w="813" w:type="pct"/>
                      </w:tcPr>
                      <w:p w:rsidR="002154B5" w:rsidRPr="002154B5" w:rsidRDefault="002154B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סירוק מתקנים</w:t>
                        </w:r>
                      </w:p>
                    </w:tc>
                  </w:tr>
                  <w:tr w:rsidR="002154B5" w:rsidRPr="002154B5">
                    <w:trPr>
                      <w:jc w:val="right"/>
                    </w:trPr>
                    <w:tc>
                      <w:tcPr>
                        <w:tcW w:w="4187" w:type="pct"/>
                      </w:tcPr>
                      <w:p w:rsidR="002154B5" w:rsidRDefault="002154B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(א) ספק גז שקיבל הודעה על סיום חוזה הספקת הגז כאמור בסעיף 1, יחזיר את דמי</w:t>
                        </w:r>
                      </w:p>
                      <w:p w:rsidR="002154B5" w:rsidRDefault="002154B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הפקדון במועד פירוק מיתקני הגז או לא יאוחר מתום 30 ימים ממועד קבלת ההודעה, הכל לפי</w:t>
                        </w:r>
                      </w:p>
                      <w:p w:rsidR="002154B5" w:rsidRDefault="002154B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המועד המוקדם יותר.</w:t>
                        </w:r>
                      </w:p>
                      <w:p w:rsidR="002154B5" w:rsidRDefault="002154B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דמי הפקדון יחושבו על בסיס התעריפים האחרונים שקבע שר התעשיה והמסחר למכלי</w:t>
                        </w:r>
                      </w:p>
                      <w:p w:rsidR="002154B5" w:rsidRDefault="002154B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גז ולציוד מושאל, כשהם צמודים למדד יוקר המחיה שמפרסמת הלשכה המרכזית לסטטיסטיקה</w:t>
                        </w:r>
                      </w:p>
                      <w:p w:rsidR="002154B5" w:rsidRPr="002154B5" w:rsidRDefault="002154B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ממועד קביעתם כאמור ועד למועד החזרת דמי הפקדון לצרכן הגז.</w:t>
                        </w:r>
                      </w:p>
                    </w:tc>
                    <w:tc>
                      <w:tcPr>
                        <w:tcW w:w="813" w:type="pct"/>
                      </w:tcPr>
                      <w:p w:rsidR="002154B5" w:rsidRDefault="002154B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החזרת דמי</w:t>
                        </w:r>
                      </w:p>
                      <w:p w:rsidR="002154B5" w:rsidRPr="002154B5" w:rsidRDefault="002154B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הפקתן</w:t>
                        </w:r>
                      </w:p>
                    </w:tc>
                  </w:tr>
                  <w:tr w:rsidR="002154B5" w:rsidRPr="002154B5">
                    <w:trPr>
                      <w:jc w:val="right"/>
                    </w:trPr>
                    <w:tc>
                      <w:tcPr>
                        <w:tcW w:w="4187" w:type="pct"/>
                      </w:tcPr>
                      <w:p w:rsidR="002154B5" w:rsidRDefault="002154B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ספק גז רשאי לקזז חוב שוטף בעד גז שסופק עד ליום שבו הסתיים החוזה בין הצדדים,</w:t>
                        </w:r>
                      </w:p>
                      <w:p w:rsidR="002154B5" w:rsidRPr="002154B5" w:rsidRDefault="002154B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מדמי הפקדון המגיעים לצרכן גז על פי תוספת זו.</w:t>
                        </w:r>
                      </w:p>
                    </w:tc>
                    <w:tc>
                      <w:tcPr>
                        <w:tcW w:w="813" w:type="pct"/>
                      </w:tcPr>
                      <w:p w:rsidR="002154B5" w:rsidRDefault="002154B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קיזוז חוב</w:t>
                        </w:r>
                      </w:p>
                      <w:p w:rsidR="002154B5" w:rsidRPr="002154B5" w:rsidRDefault="002154B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מדמי פקדון</w:t>
                        </w:r>
                      </w:p>
                    </w:tc>
                  </w:tr>
                </w:tbl>
                <w:p w:rsidR="002154B5" w:rsidRDefault="002154B5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51533" o:spid="_x0000_s1037" type="#_x0000_t202" style="position:absolute;left:0;text-align:left;margin-left:243.35pt;margin-top:253pt;width:71.5pt;height:29.9pt;z-index:6;mso-position-horizontal-relative:page;mso-position-vertical-relative:page" stroked="f">
            <v:textbox style="mso-next-textbox:#_x0000_s51533" inset="0,0,0,0">
              <w:txbxContent>
                <w:p w:rsidR="002154B5" w:rsidRDefault="002154B5">
                  <w:pPr>
                    <w:pStyle w:val="OCRStyle2"/>
                    <w:ind w:left="374"/>
                    <w:rPr>
                      <w:rtl/>
                    </w:rPr>
                  </w:pPr>
                  <w:r>
                    <w:rPr>
                      <w:rtl/>
                    </w:rPr>
                    <w:t>תוספת</w:t>
                  </w:r>
                </w:p>
                <w:p w:rsidR="002154B5" w:rsidRDefault="002154B5">
                  <w:pPr>
                    <w:pStyle w:val="OCRStyle2"/>
                    <w:ind w:left="346"/>
                  </w:pPr>
                  <w:r>
                    <w:rPr>
                      <w:rtl/>
                    </w:rPr>
                    <w:t>(סעיף 5)</w:t>
                  </w:r>
                </w:p>
              </w:txbxContent>
            </v:textbox>
            <w10:wrap anchorx="page" anchory="page"/>
          </v:shape>
        </w:pict>
      </w:r>
      <w:r>
        <w:pict>
          <v:shape id="_x0000_s51534" o:spid="_x0000_s1038" type="#_x0000_t202" style="position:absolute;left:0;text-align:left;margin-left:79.8pt;margin-top:64.35pt;width:464.9pt;height:178.2pt;z-index:5;mso-position-horizontal-relative:page;mso-position-vertical-relative:page" stroked="f">
            <v:textbox style="mso-next-textbox:#_x0000_s51534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041"/>
                    <w:gridCol w:w="1411"/>
                  </w:tblGrid>
                  <w:tr w:rsidR="002154B5" w:rsidRPr="002154B5">
                    <w:trPr>
                      <w:jc w:val="right"/>
                    </w:trPr>
                    <w:tc>
                      <w:tcPr>
                        <w:tcW w:w="4165" w:type="pct"/>
                      </w:tcPr>
                      <w:p w:rsidR="002154B5" w:rsidRDefault="002154B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החלטה בדבר החלפת ספק גז כאמור בסעיף 59ד לחוק המקרקעין לא תבוצע אלא לאחר</w:t>
                        </w:r>
                      </w:p>
                      <w:p w:rsidR="002154B5" w:rsidRDefault="002154B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שחלפה שנה מהיום שהוחל בהפעלת מערכת הגז המרכזית.</w:t>
                        </w:r>
                      </w:p>
                    </w:tc>
                    <w:tc>
                      <w:tcPr>
                        <w:tcW w:w="835" w:type="pct"/>
                      </w:tcPr>
                      <w:p w:rsidR="002154B5" w:rsidRDefault="002154B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המועד להחלפת</w:t>
                        </w:r>
                      </w:p>
                      <w:p w:rsidR="002154B5" w:rsidRPr="002154B5" w:rsidRDefault="002154B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ספק גז</w:t>
                        </w:r>
                      </w:p>
                    </w:tc>
                  </w:tr>
                  <w:tr w:rsidR="002154B5" w:rsidRPr="002154B5">
                    <w:trPr>
                      <w:jc w:val="right"/>
                    </w:trPr>
                    <w:tc>
                      <w:tcPr>
                        <w:tcW w:w="4165" w:type="pct"/>
                      </w:tcPr>
                      <w:p w:rsidR="002154B5" w:rsidRDefault="002154B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בית משותף שבו הותקנה והופעלה מערכת גז מרכזית לפני תחילתו של חוק זה, ונקבעו</w:t>
                        </w:r>
                      </w:p>
                      <w:p w:rsidR="002154B5" w:rsidRDefault="002154B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בתקנון או בחוזה הוראות העומדות בסתירה להוראות סעיפים 59ד ו-59ה לחוק המקרקעין, רואים</w:t>
                        </w:r>
                      </w:p>
                      <w:p w:rsidR="002154B5" w:rsidRDefault="002154B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אותן הוראות כבטלות בתום חמש שנים מיום הפעלת מערכת הגז המרכזית, זולת אם ההוראות</w:t>
                        </w:r>
                      </w:p>
                      <w:p w:rsidR="002154B5" w:rsidRPr="002154B5" w:rsidRDefault="002154B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מיטיבות עם בעלי הדירות.</w:t>
                        </w:r>
                      </w:p>
                    </w:tc>
                    <w:tc>
                      <w:tcPr>
                        <w:tcW w:w="835" w:type="pct"/>
                      </w:tcPr>
                      <w:p w:rsidR="002154B5" w:rsidRDefault="002154B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הוראות מעבר</w:t>
                        </w:r>
                      </w:p>
                      <w:p w:rsidR="002154B5" w:rsidRDefault="002154B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לענין החלפה</w:t>
                        </w:r>
                      </w:p>
                      <w:p w:rsidR="002154B5" w:rsidRPr="002154B5" w:rsidRDefault="002154B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בדירות קיימות</w:t>
                        </w:r>
                      </w:p>
                    </w:tc>
                  </w:tr>
                  <w:tr w:rsidR="002154B5" w:rsidRPr="002154B5">
                    <w:trPr>
                      <w:jc w:val="right"/>
                    </w:trPr>
                    <w:tc>
                      <w:tcPr>
                        <w:tcW w:w="4165" w:type="pct"/>
                      </w:tcPr>
                      <w:p w:rsidR="002154B5" w:rsidRDefault="002154B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שר המשפטים ממונה על ביצוע חוק זה, והוא רשאי, באישור ועדת החוקה חוק ומשפט של</w:t>
                        </w:r>
                      </w:p>
                      <w:p w:rsidR="002154B5" w:rsidRPr="002154B5" w:rsidRDefault="002154B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הכנסת, להתקין תקנות בכל ענין הנוגע לביצועו.</w:t>
                        </w:r>
                      </w:p>
                    </w:tc>
                    <w:tc>
                      <w:tcPr>
                        <w:tcW w:w="835" w:type="pct"/>
                      </w:tcPr>
                      <w:p w:rsidR="002154B5" w:rsidRPr="002154B5" w:rsidRDefault="002154B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ביצוע ותקנות</w:t>
                        </w:r>
                      </w:p>
                    </w:tc>
                  </w:tr>
                  <w:tr w:rsidR="002154B5" w:rsidRPr="002154B5">
                    <w:trPr>
                      <w:jc w:val="right"/>
                    </w:trPr>
                    <w:tc>
                      <w:tcPr>
                        <w:tcW w:w="4165" w:type="pct"/>
                      </w:tcPr>
                      <w:p w:rsidR="002154B5" w:rsidRPr="002154B5" w:rsidRDefault="002154B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שר המשפטים רשאי בתקנות, באישור כאמור בסעיף 4, לשנות את התוספת.</w:t>
                        </w:r>
                      </w:p>
                    </w:tc>
                    <w:tc>
                      <w:tcPr>
                        <w:tcW w:w="835" w:type="pct"/>
                      </w:tcPr>
                      <w:p w:rsidR="002154B5" w:rsidRPr="002154B5" w:rsidRDefault="002154B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שינוי התוספת</w:t>
                        </w:r>
                      </w:p>
                    </w:tc>
                  </w:tr>
                  <w:tr w:rsidR="002154B5" w:rsidRPr="002154B5">
                    <w:trPr>
                      <w:jc w:val="right"/>
                    </w:trPr>
                    <w:tc>
                      <w:tcPr>
                        <w:tcW w:w="4165" w:type="pct"/>
                      </w:tcPr>
                      <w:p w:rsidR="002154B5" w:rsidRPr="002154B5" w:rsidRDefault="002154B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6. תחילתו של חוק זה ביום י"ט בסיון התשנ"א (1 ביוני 1991).</w:t>
                        </w:r>
                      </w:p>
                    </w:tc>
                    <w:tc>
                      <w:tcPr>
                        <w:tcW w:w="835" w:type="pct"/>
                      </w:tcPr>
                      <w:p w:rsidR="002154B5" w:rsidRPr="002154B5" w:rsidRDefault="002154B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תחילה</w:t>
                        </w:r>
                      </w:p>
                    </w:tc>
                  </w:tr>
                </w:tbl>
                <w:p w:rsidR="002154B5" w:rsidRDefault="002154B5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4F66BA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F66BA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00333E00-1A7F-438A-B0DF-EB6E20E532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4F66BA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2154B5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17</Characters>
  <Application>Microsoft Office Word</Application>
  <DocSecurity>4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3</cp:revision>
  <dcterms:created xsi:type="dcterms:W3CDTF">2008-04-07T12:44:00Z</dcterms:created>
  <dcterms:modified xsi:type="dcterms:W3CDTF">2008-04-07T12:44:00Z</dcterms:modified>
</cp:coreProperties>
</file>