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7547" w:rsidRDefault="00407547">
      <w:pPr>
        <w:rPr>
          <w:rtl/>
        </w:rPr>
      </w:pPr>
    </w:p>
    <w:p w:rsidR="004075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552" inset="0,0,0,0">
              <w:txbxContent>
                <w:p w:rsidR="003C6357" w:rsidRDefault="003C6357">
                  <w:r>
                    <w:rPr>
                      <w:rtl/>
                    </w:rPr>
                    <w:t>128                                         ספר החוקים 1351                  י"ב בניסן התשנ"א 27.03.1991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53" o:spid="_x0000_s1026" type="#_x0000_t202" style="position:absolute;left:0;text-align:left;margin-left:73.6pt;margin-top:646.05pt;width:379.75pt;height:103.35pt;z-index:3;mso-position-horizontal-relative:page;mso-position-vertical-relative:page" stroked="f">
            <v:textbox style="mso-next-textbox:#_x0000_s51553" inset="0,0,0,0">
              <w:txbxContent>
                <w:p w:rsidR="003C6357" w:rsidRDefault="003C635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ר בניסן התשנ"א (21 במרס 1991), הצעת החוק ודברי הסבר פורסמו בהצעות חוק 2026, מיום ד'</w:t>
                  </w:r>
                </w:p>
                <w:p w:rsidR="003C6357" w:rsidRDefault="003C635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(21 בנובמבר 1990), עמ' 21.</w:t>
                  </w:r>
                </w:p>
                <w:p w:rsidR="003C6357" w:rsidRDefault="003C635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 ס"ח התשי"ט, עמ' 32: התשכ"ט, עמ' 77; התשל"א, עמ' 180; התשל"ג, עמ' 162; התשל"ז, עמ' 46 ועמ' 122;התשמ"ח,</w:t>
                  </w:r>
                </w:p>
                <w:p w:rsidR="003C6357" w:rsidRPr="00407547" w:rsidRDefault="003C6357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54" o:spid="_x0000_s1027" type="#_x0000_t202" style="position:absolute;left:0;text-align:left;margin-left:74.4pt;margin-top:113.25pt;width:465.7pt;height:508.85pt;z-index:2;mso-position-horizontal-relative:page;mso-position-vertical-relative:page" stroked="f">
            <v:textbox style="mso-next-textbox:#_x0000_s5155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3"/>
                    <w:gridCol w:w="1493"/>
                  </w:tblGrid>
                  <w:tr w:rsidR="003C6357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הסדרים בעניני עבודה</w:t>
                        </w:r>
                      </w:p>
                    </w:tc>
                    <w:tc>
                      <w:tcPr>
                        <w:tcW w:w="882" w:type="pct"/>
                      </w:tcPr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C6357" w:rsidRPr="00407547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שירות התעסוקה, התשי"ט-11959 -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בפרק השני, במקום הכותרת יבוא: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שני: דרכי פעולתה של לשכת שירות התעסוקה";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35 יבוא: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 הוראות 35א. סעיפים 32 עד 35 יחולו רק לגבי עובד או אדם העומד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להתקבל כעובד, שאינו אזרח ישראלי או תושב ישראל.";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36 -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"וחייב בזיקה ללשכת עבודה על פי חוק זה" יבוא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"בענפי העבודה, במקצועות ובעבודות המפורטים בתוספת השניה, למעט עובד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 כאמור בסעיף 32 (ב) או עובד שנקבע בתקנות שהותקנו על פי הסעיף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האמור";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"ושלא חלה עליהם זיקת חובה על פי חוק זה"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"ושלא חל עליהם סעיף קטן (א)";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(ב) יבוא: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לשכה פרטית, כמשמעותה בסעיף 62, המורשית לפעול לפי חוק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זכאית לקבל על פי בקשתה מלשכה אזורית של שירות התעסוקה, את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ההודעות שנמסרו לפי סעיף זה; שירות התעסוקה רשאי לגבות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בעד מסירת המידע האמור, בשיעור שיקבע שר העבודה והרווחה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האוצר, בהתאם לעלות הכרוכה בכך.";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44, הפסקה המתחילה במלים "חובת הזיקה" והמסתיימת במלים "ולגבי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שובתים או מושבתים, כל זמן השביתה או ההשבתה" - תימחק;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46, המלים "שסעיף 32(א) חל עליו" - יימחקו;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47 - בטל;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62, הסימן "(א)" וסעיף קטן (ב) - יימחקו;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63, במקום סעיף קטן (ב) יבוא: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רשיון לפי סעיף זה יהיה לתקופה של שנה.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השר שלא לחדש רשיון, יודיע על כך לבעל הרשיון לא יאוחר מ-30</w:t>
                        </w:r>
                      </w:p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פקיעת הרשיון; לא הודיע כאמור, יתחדש הרשיון לתקופה נוספת</w:t>
                        </w:r>
                      </w:p>
                      <w:p w:rsidR="003C6357" w:rsidRPr="0040754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שנה בכל פעם.";</w:t>
                        </w:r>
                      </w:p>
                    </w:tc>
                    <w:tc>
                      <w:tcPr>
                        <w:tcW w:w="882" w:type="pct"/>
                      </w:tcPr>
                      <w:p w:rsidR="003C635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C6357" w:rsidRPr="00407547" w:rsidRDefault="003C63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</w:t>
                        </w:r>
                      </w:p>
                    </w:tc>
                  </w:tr>
                </w:tbl>
                <w:p w:rsidR="003C6357" w:rsidRDefault="003C63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55" o:spid="_x0000_s1028" type="#_x0000_t202" style="position:absolute;left:0;text-align:left;margin-left:90pt;margin-top:70.3pt;width:359.75pt;height:36.05pt;z-index:1;mso-position-horizontal-relative:page;mso-position-vertical-relative:page" stroked="f">
            <v:textbox style="mso-next-textbox:#_x0000_s51555" inset="0,0,0,0">
              <w:txbxContent>
                <w:p w:rsidR="003C6357" w:rsidRDefault="003C6357">
                  <w:pPr>
                    <w:pStyle w:val="OCRStyle1"/>
                    <w:ind w:left="1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(יצירת תנאים לצמיחה ולקליטת העליה),</w:t>
                  </w:r>
                </w:p>
                <w:p w:rsidR="003C6357" w:rsidRPr="00407547" w:rsidRDefault="003C6357">
                  <w:pPr>
                    <w:pStyle w:val="OCRStyle1"/>
                    <w:ind w:left="2642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EA2256" w:rsidRDefault="00EA2256">
      <w:pPr>
        <w:rPr>
          <w:rtl/>
        </w:rPr>
      </w:pPr>
      <w:r>
        <w:rPr>
          <w:rtl/>
        </w:rPr>
        <w:br w:type="page"/>
      </w:r>
    </w:p>
    <w:p w:rsidR="00EA2256" w:rsidRDefault="00000000">
      <w:pPr>
        <w:rPr>
          <w:rtl/>
        </w:rPr>
      </w:pPr>
      <w:r>
        <w:pict>
          <v:shape id="_x0000_s5155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556" inset="0,0,0,0">
              <w:txbxContent>
                <w:p w:rsidR="003C6357" w:rsidRDefault="003C6357">
                  <w:r>
                    <w:rPr>
                      <w:rtl/>
                    </w:rPr>
                    <w:t>129                                         ספר החוקים 1351                  י"ב בניסן התשנ"א 27.03.1991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57" o:spid="_x0000_s1030" type="#_x0000_t202" style="position:absolute;left:0;text-align:left;margin-left:370.15pt;margin-top:649pt;width:186.1pt;height:88.5pt;z-index:6;mso-position-horizontal-relative:page;mso-position-vertical-relative:page" stroked="f">
            <v:textbox style="mso-next-textbox:#_x0000_s51557" inset="0,0,0,0">
              <w:txbxContent>
                <w:p w:rsidR="003C6357" w:rsidRPr="00EA2256" w:rsidRDefault="003C6357">
                  <w:pPr>
                    <w:pStyle w:val="OCRStyle2"/>
                    <w:ind w:left="1368"/>
                  </w:pPr>
                  <w:r>
                    <w:rPr>
                      <w:rtl/>
                    </w:rPr>
                    <w:t>2 ס"ח התשי"א,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58" o:spid="_x0000_s1031" type="#_x0000_t202" style="position:absolute;left:0;text-align:left;margin-left:104.2pt;margin-top:55.75pt;width:455.4pt;height:537.95pt;z-index:5;mso-position-horizontal-relative:page;mso-position-vertical-relative:page" stroked="f">
            <v:textbox style="mso-next-textbox:#_x0000_s5155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4781"/>
                    <w:gridCol w:w="2149"/>
                  </w:tblGrid>
                  <w:tr w:rsidR="003C6357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במקום סעיף 64 יבוא:</w:t>
                        </w:r>
                      </w:p>
                    </w:tc>
                  </w:tr>
                  <w:tr w:rsidR="003C6357" w:rsidRPr="00EA225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7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648. (א) שר העבודה והרווחה רשאי להתנות מתן רשיון לפי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63, בקיומם של תנאים פיסיים וסביבתיים נאותים, לשם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 תקין בידי מבקש הרשיון.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שלא ליתן רשיון לפי סעיף 63, אם בחמש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שקדמו לבקשת הרשיון הורשע מבקש הרשיון או ממלא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בכיר בו בעבירה שיש בה, בנסיכות הענין, משום קלון.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 תנאים כאמור בסעיף קטן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דרך כלל או לסוגים של לשכות פרטיות, ובלבד שלא יקבע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הנדרשים לפי כל דין אחר.";</w:t>
                        </w:r>
                      </w:p>
                    </w:tc>
                    <w:tc>
                      <w:tcPr>
                        <w:tcW w:w="1298" w:type="pct"/>
                      </w:tcPr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רשיון</w:t>
                        </w:r>
                      </w:p>
                    </w:tc>
                  </w:tr>
                  <w:tr w:rsidR="003C6357" w:rsidRPr="00EA225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אחרי סעיף 64 יבוא:</w:t>
                        </w:r>
                      </w:p>
                    </w:tc>
                  </w:tr>
                  <w:tr w:rsidR="003C6357" w:rsidRPr="00EA225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7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64א. (א) הוראות סעיפים 42 ו-44 יחולו לגבי שליחה לעבודה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כידי לשכה פרטית.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לשכה פרטית לא תסרב סירוב בלתי סביר לתת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שירותיה.":</w:t>
                        </w:r>
                      </w:p>
                    </w:tc>
                    <w:tc>
                      <w:tcPr>
                        <w:tcW w:w="1298" w:type="pct"/>
                      </w:tcPr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הוראות</w:t>
                        </w:r>
                      </w:p>
                    </w:tc>
                  </w:tr>
                  <w:tr w:rsidR="003C6357" w:rsidRPr="00EA225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במקום סעיף 66 יבוא:</w:t>
                        </w:r>
                      </w:p>
                    </w:tc>
                  </w:tr>
                  <w:tr w:rsidR="003C6357" w:rsidRPr="00EA225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7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לשכה פרטית לא תדרוש ולא תגבה תשלום, במישרין או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בעד שירותיה או הוצאותיה ממבקש העבודה, ומעביד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ללשכה פרטית תשלום כאמור לא ידרוש ולא יגבה אותו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מהעובד במישרין או בעקיפין.";</w:t>
                        </w:r>
                      </w:p>
                    </w:tc>
                    <w:tc>
                      <w:tcPr>
                        <w:tcW w:w="1298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גביית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ממבקש</w:t>
                        </w:r>
                      </w:p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</w:tr>
                  <w:tr w:rsidR="003C6357" w:rsidRPr="00EA225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במקום סעיף 68 יבוא:</w:t>
                        </w:r>
                      </w:p>
                    </w:tc>
                  </w:tr>
                  <w:tr w:rsidR="003C6357" w:rsidRPr="00EA225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7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הפר בעל רשיון הוראה מהוראות פרק זה או תנאי מהתנאים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רשיון או היתר, רשאי שר העבודה והרווחה, לאחר שנתן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הרשיון או ההיתר הזדמנות להשמיע טענותיו, להגביל או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הרשיון או ההיתר.";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!6א, בסעיף קטן (ג), בסופו יבוא "או על הסעת עובדים בידי מעבידם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מטעמו";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רד, במקום "סעיף 42א" יבוא "סעיפים 32 ו-42א".</w:t>
                        </w:r>
                      </w:p>
                    </w:tc>
                    <w:tc>
                      <w:tcPr>
                        <w:tcW w:w="1298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רשיון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והיתר והגבלתם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בסעיף 9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אדם נ</w:t>
                        </w:r>
                      </w:p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בסעיף '</w:t>
                        </w:r>
                      </w:p>
                    </w:tc>
                  </w:tr>
                  <w:tr w:rsidR="003C6357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שעות</w:t>
                        </w:r>
                      </w:p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ומנוחה</w:t>
                        </w:r>
                      </w:p>
                    </w:tc>
                    <w:tc>
                      <w:tcPr>
                        <w:tcW w:w="2887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 שעות עבודה ומנוחה, התשי"א-21951, יסומן (א) ואחריו יבוא: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195, 1992 ו-1993 יראו כאילו בסעיף קטן (א) במקום "משבוע אחד"</w:t>
                        </w:r>
                      </w:p>
                      <w:p w:rsidR="003C6357" w:rsidRPr="00EA2256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שבועות"."</w:t>
                        </w:r>
                      </w:p>
                    </w:tc>
                    <w:tc>
                      <w:tcPr>
                        <w:tcW w:w="1298" w:type="pct"/>
                      </w:tcPr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22 לחו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בשנים 1991, 1992 ו-1993 יראו כאילו בסעיף קטן (א) במקום "משבוע אחד"</w:t>
                        </w:r>
                      </w:p>
                      <w:p w:rsidR="003C6357" w:rsidRDefault="003C63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"משני שבועות"."</w:t>
                        </w:r>
                      </w:p>
                    </w:tc>
                  </w:tr>
                </w:tbl>
                <w:p w:rsidR="003C6357" w:rsidRDefault="003C63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C6357" w:rsidRDefault="003C6357">
      <w:pPr>
        <w:rPr>
          <w:rtl/>
        </w:rPr>
      </w:pPr>
      <w:r>
        <w:rPr>
          <w:rtl/>
        </w:rPr>
        <w:br w:type="page"/>
      </w:r>
    </w:p>
    <w:p w:rsidR="003C6357" w:rsidRDefault="00000000">
      <w:pPr>
        <w:rPr>
          <w:rtl/>
        </w:rPr>
      </w:pPr>
      <w:r>
        <w:pict>
          <v:shape id="_x0000_s5155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1559" inset="0,0,0,0">
              <w:txbxContent>
                <w:p w:rsidR="003C6357" w:rsidRDefault="003C6357">
                  <w:r>
                    <w:rPr>
                      <w:rtl/>
                    </w:rPr>
                    <w:t>130                                         ספר החוקים 1351                  י"ב בניסן התשנ"א 27.03.1991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0" o:spid="_x0000_s1033" type="#_x0000_t202" style="position:absolute;left:0;text-align:left;margin-left:292.4pt;margin-top:404.5pt;width:167.9pt;height:39.6pt;z-index:13;mso-position-horizontal-relative:page;mso-position-vertical-relative:page" stroked="f">
            <v:textbox style="mso-next-textbox:#_x0000_s51560" inset="0,0,0,0">
              <w:txbxContent>
                <w:p w:rsidR="003C6357" w:rsidRDefault="003C6357">
                  <w:pPr>
                    <w:pStyle w:val="OCRStyle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ס"ח התשמ"ה, עמ' 60: התשנ"א עמ' 124.</w:t>
                  </w:r>
                </w:p>
                <w:p w:rsidR="003C6357" w:rsidRPr="003C6357" w:rsidRDefault="003C6357">
                  <w:pPr>
                    <w:pStyle w:val="OCRStyle3"/>
                    <w:ind w:left="94"/>
                  </w:pPr>
                  <w:r>
                    <w:rPr>
                      <w:rtl/>
                    </w:rPr>
                    <w:t>4 ק"ת התש"ן, עמ' 1294;ס"ח התשנ"א,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1" o:spid="_x0000_s1034" type="#_x0000_t202" style="position:absolute;left:0;text-align:left;margin-left:96.95pt;margin-top:336.4pt;width:67.1pt;height:30.1pt;z-index:12;mso-position-horizontal-relative:page;mso-position-vertical-relative:page" stroked="f">
            <v:textbox style="mso-next-textbox:#_x0000_s51561" inset="0,0,0,0">
              <w:txbxContent>
                <w:p w:rsidR="003C6357" w:rsidRDefault="003C6357">
                  <w:pPr>
                    <w:pStyle w:val="OCRStyle3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3C6357" w:rsidRDefault="003C6357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2" o:spid="_x0000_s1035" type="#_x0000_t202" style="position:absolute;left:0;text-align:left;margin-left:171pt;margin-top:357.15pt;width:96.45pt;height:37.05pt;z-index:11;mso-position-horizontal-relative:page;mso-position-vertical-relative:page" stroked="f">
            <v:textbox style="mso-next-textbox:#_x0000_s51562" inset="0,0,0,0">
              <w:txbxContent>
                <w:p w:rsidR="003C6357" w:rsidRDefault="003C6357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C6357" w:rsidRDefault="003C6357">
                  <w:pPr>
                    <w:pStyle w:val="OCRStyle3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3" o:spid="_x0000_s1036" type="#_x0000_t202" style="position:absolute;left:0;text-align:left;margin-left:279.5pt;margin-top:333.8pt;width:75.65pt;height:34.45pt;z-index:10;mso-position-horizontal-relative:page;mso-position-vertical-relative:page" stroked="f">
            <v:textbox style="mso-next-textbox:#_x0000_s51563" inset="0,0,0,0">
              <w:txbxContent>
                <w:p w:rsidR="003C6357" w:rsidRDefault="003C6357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C6357" w:rsidRDefault="003C6357">
                  <w:pPr>
                    <w:pStyle w:val="OCRStyle3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4" o:spid="_x0000_s1037" type="#_x0000_t202" style="position:absolute;left:0;text-align:left;margin-left:371.6pt;margin-top:360.55pt;width:81.75pt;height:34.45pt;z-index:9;mso-position-horizontal-relative:page;mso-position-vertical-relative:page" stroked="f">
            <v:textbox style="mso-next-textbox:#_x0000_s51564" inset="0,0,0,0">
              <w:txbxContent>
                <w:p w:rsidR="003C6357" w:rsidRDefault="003C6357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C6357" w:rsidRDefault="003C6357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5" o:spid="_x0000_s1038" type="#_x0000_t202" style="position:absolute;left:0;text-align:left;margin-left:73.6pt;margin-top:68.7pt;width:464.1pt;height:264.9pt;z-index:8;mso-position-horizontal-relative:page;mso-position-vertical-relative:page" stroked="f">
            <v:textbox style="mso-next-textbox:#_x0000_s515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41"/>
                    <w:gridCol w:w="2228"/>
                    <w:gridCol w:w="1369"/>
                  </w:tblGrid>
                  <w:tr w:rsidR="003C6357">
                    <w:trPr>
                      <w:jc w:val="right"/>
                    </w:trPr>
                    <w:tc>
                      <w:tcPr>
                        <w:tcW w:w="2869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שונות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1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C6357" w:rsidRPr="003C6357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בחוק יסודות התקציב, התשמ"ה-31985 -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31א יבוא: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C6357" w:rsidRP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</w:tc>
                  </w:tr>
                  <w:tr w:rsidR="003C6357">
                    <w:trPr>
                      <w:jc w:val="right"/>
                    </w:trPr>
                    <w:tc>
                      <w:tcPr>
                        <w:tcW w:w="2869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31ב. תאגיד, או גוף אחר שהממשלה משתתפת בתקציבו, לא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ישעבד ולא ימחה לאחר את זכותו לקבלת תמיכה, מענק או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אחרת מתקציב המדינה, אלא אם כן הותר הדבר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 שיתקין שר האוצר; רשות מקומית לא תשעבד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תמחה זכות כאמור אלא אם כן הותר הדבר בהתאם לתקנות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שיתקין שר האוצר בהסכמת שר הפנים.";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3C6357" w:rsidRP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"המחאה או שעבוד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C6357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3C6357" w:rsidRP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39א יבוא: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C6357">
                    <w:trPr>
                      <w:jc w:val="right"/>
                    </w:trPr>
                    <w:tc>
                      <w:tcPr>
                        <w:tcW w:w="2869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39ב. הטלת מסים, אגרות ותשלומי חובה אחרים המשתלמים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ושינוי שיעוריהם טעונים אישורו של שר האוצר,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לאישורים הדרושים לפי כל דין אחר."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קטן (א) (1) כדי לפגוע בתקפן של</w:t>
                        </w:r>
                      </w:p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המחאות חוב שהוסכם עליהן לפני תחילתו של חוק זה.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מסים</w:t>
                        </w:r>
                      </w:p>
                      <w:p w:rsidR="003C6357" w:rsidRP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ואגרות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C6357" w:rsidRPr="003C6357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תקנות שעת חירום (מיסוי הכנסות פיננסיות מסויימות), התש"ן-41990 - בטלות מיום</w:t>
                        </w:r>
                      </w:p>
                      <w:p w:rsidR="003C6357" w:rsidRP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תקנות שעת</w:t>
                        </w:r>
                      </w:p>
                      <w:p w:rsidR="003C6357" w:rsidRPr="003C6357" w:rsidRDefault="003C63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</w:tr>
                </w:tbl>
                <w:p w:rsidR="003C6357" w:rsidRDefault="003C635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75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30A242-479C-45B6-9C6E-08A83B60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754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A225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C635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2008-04-07T12:45:00Z</dcterms:created>
  <dcterms:modified xsi:type="dcterms:W3CDTF">2008-04-07T12:45:00Z</dcterms:modified>
</cp:coreProperties>
</file>