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083C" w:rsidRDefault="0031083C">
      <w:pPr>
        <w:rPr>
          <w:rtl/>
        </w:rPr>
      </w:pPr>
    </w:p>
    <w:p w:rsidR="003108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5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588" inset="0,0,0,0">
              <w:txbxContent>
                <w:p w:rsidR="00AF4F3F" w:rsidRDefault="00AF4F3F">
                  <w:r>
                    <w:rPr>
                      <w:rtl/>
                    </w:rPr>
                    <w:t>350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89" o:spid="_x0000_s1026" type="#_x0000_t202" style="position:absolute;left:0;text-align:left;margin-left:77.45pt;margin-top:652.4pt;width:411.45pt;height:78.2pt;z-index:3;mso-position-horizontal-relative:page;mso-position-vertical-relative:page" stroked="f">
            <v:textbox style="mso-next-textbox:#_x0000_s51589" inset="0,0,0,0">
              <w:txbxContent>
                <w:p w:rsidR="00AF4F3F" w:rsidRDefault="00AF4F3F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בתמוז התשנ''ה (12 ביולי 1995); הצעות החוק ודברי הסבר פורסמו בהצעות חוק</w:t>
                  </w:r>
                </w:p>
                <w:p w:rsidR="00AF4F3F" w:rsidRDefault="00AF4F3F">
                  <w:pPr>
                    <w:pStyle w:val="OCRStyle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2293, מיום ה' באב התשנ''ד (13 ביולי 1994), עמ' 552, וכן בהצעות חוק 2397, מיום ג' בניסן התשנ'ה</w:t>
                  </w:r>
                </w:p>
                <w:p w:rsidR="00AF4F3F" w:rsidRDefault="00AF4F3F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(3 באפריל 1995), עמ' .452</w:t>
                  </w:r>
                </w:p>
                <w:p w:rsidR="00AF4F3F" w:rsidRPr="0031083C" w:rsidRDefault="00AF4F3F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1 ס''ח התשי'א, עמ' 228; התשנ''ה, עמ' 350.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90" o:spid="_x0000_s1027" type="#_x0000_t202" style="position:absolute;left:0;text-align:left;margin-left:83.6pt;margin-top:395pt;width:463.1pt;height:255.6pt;z-index:2;mso-position-horizontal-relative:page;mso-position-vertical-relative:page" stroked="f">
            <v:textbox style="mso-next-textbox:#_x0000_s515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4"/>
                    <w:gridCol w:w="973"/>
                    <w:gridCol w:w="1453"/>
                  </w:tblGrid>
                  <w:tr w:rsidR="00AF4F3F" w:rsidRPr="0031083C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AF4F3F" w:rsidRDefault="00AF4F3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במקום סעיף 13א לחוק חסינות חברי הכנסת, זכויותיהם וחובותיהם, התשי"א-1951 1</w:t>
                        </w:r>
                      </w:p>
                      <w:p w:rsidR="00AF4F3F" w:rsidRPr="0031083C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יבוא: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F4F3F" w:rsidRPr="0031083C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13א</w:t>
                        </w:r>
                      </w:p>
                    </w:tc>
                  </w:tr>
                  <w:tr w:rsidR="00AF4F3F">
                    <w:trPr>
                      <w:jc w:val="right"/>
                    </w:trPr>
                    <w:tc>
                      <w:tcPr>
                        <w:tcW w:w="3559" w:type="pct"/>
                      </w:tcPr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חבר הכנסת לא יעסוק בבל עסק או בבל עיסוק נוסף, למעט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בהתנדבות וללא תמורה; לענין זה -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"יעסוק" - בין בעצמו ובין בשיתוף עם אחר, לרבות עובד או שלוח;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"עיסוק נוסף" -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עיסוק נוסף על העיסוק כחבר הכנסת, לרבות עיסוק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חד-פעמי, ייצוג של אדם אחר, מתן ייעוץ או קיום פעילות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שדלנית למענו;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כהונה כראש רשות מקומית או כיושב ראש של רשות,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או מוסד ממלכתיים;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"תמורה" - תמורה כספית או תמורה חומרית אחרת;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"תמורה חומרית" - לרבות העמדת משרד ושירותי משרד לרשות חבר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לצרכיו הפרטיים, ולרבות העמדת רכב לרשות חבר הכנסת הן</w:t>
                        </w:r>
                      </w:p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לצרכיו הפרטיים והן לצורך העיסוק בהתנדבות וללא תמורה.</w:t>
                        </w:r>
                      </w:p>
                    </w:tc>
                    <w:tc>
                      <w:tcPr>
                        <w:tcW w:w="578" w:type="pct"/>
                      </w:tcPr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'איסור עיסוק</w:t>
                        </w:r>
                      </w:p>
                      <w:p w:rsidR="00AF4F3F" w:rsidRPr="0031083C" w:rsidRDefault="00AF4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F4F3F" w:rsidRDefault="00AF4F3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F4F3F" w:rsidRDefault="00AF4F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91" o:spid="_x0000_s1028" type="#_x0000_t202" style="position:absolute;left:0;text-align:left;margin-left:111.1pt;margin-top:358.75pt;width:345.1pt;height:34.45pt;z-index:1;mso-position-horizontal-relative:page;mso-position-vertical-relative:page" stroked="f">
            <v:textbox style="mso-next-textbox:#_x0000_s51591" inset="0,0,0,0">
              <w:txbxContent>
                <w:p w:rsidR="00AF4F3F" w:rsidRDefault="00AF4F3F">
                  <w:pPr>
                    <w:pStyle w:val="OCRStyle1"/>
                    <w:ind w:left="33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15),</w:t>
                  </w:r>
                </w:p>
                <w:p w:rsidR="00AF4F3F" w:rsidRPr="0031083C" w:rsidRDefault="00AF4F3F">
                  <w:pPr>
                    <w:pStyle w:val="OCRStyle1"/>
                    <w:ind w:left="24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AF54C9" w:rsidRDefault="00AF54C9">
      <w:pPr>
        <w:rPr>
          <w:rtl/>
        </w:rPr>
      </w:pPr>
      <w:r>
        <w:rPr>
          <w:rtl/>
        </w:rPr>
        <w:br w:type="page"/>
      </w:r>
    </w:p>
    <w:p w:rsidR="00AF54C9" w:rsidRDefault="00000000">
      <w:pPr>
        <w:rPr>
          <w:rtl/>
        </w:rPr>
      </w:pPr>
      <w:r>
        <w:pict>
          <v:shape id="_x0000_s5159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592" inset="0,0,0,0">
              <w:txbxContent>
                <w:p w:rsidR="00AF4F3F" w:rsidRDefault="00AF4F3F">
                  <w:r>
                    <w:rPr>
                      <w:rtl/>
                    </w:rPr>
                    <w:t>351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93" o:spid="_x0000_s1030" type="#_x0000_t202" style="position:absolute;left:0;text-align:left;margin-left:289.75pt;margin-top:618.05pt;width:260.75pt;height:117.8pt;z-index:6;mso-position-horizontal-relative:page;mso-position-vertical-relative:page" stroked="f">
            <v:textbox style="mso-next-textbox:#_x0000_s51593" inset="0,0,0,0">
              <w:txbxContent>
                <w:p w:rsidR="00AF4F3F" w:rsidRDefault="00AF4F3F">
                  <w:pPr>
                    <w:pStyle w:val="OCRStyle2"/>
                    <w:ind w:left="3305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AF4F3F" w:rsidRDefault="00AF4F3F">
                  <w:pPr>
                    <w:pStyle w:val="OCRStyle2"/>
                    <w:ind w:left="3190"/>
                    <w:rPr>
                      <w:rtl/>
                    </w:rPr>
                  </w:pPr>
                  <w:r>
                    <w:rPr>
                      <w:rtl/>
                    </w:rPr>
                    <w:t>(סעיף 13א1)</w:t>
                  </w:r>
                </w:p>
                <w:p w:rsidR="00AF4F3F" w:rsidRDefault="00AF4F3F">
                  <w:pPr>
                    <w:pStyle w:val="OCRStyle2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ו. רשות מקומית.</w:t>
                  </w:r>
                </w:p>
                <w:p w:rsidR="00AF4F3F" w:rsidRPr="00AF54C9" w:rsidRDefault="00AF4F3F">
                  <w:pPr>
                    <w:pStyle w:val="OCRStyle2"/>
                    <w:ind w:left="835"/>
                  </w:pPr>
                  <w:r>
                    <w:rPr>
                      <w:rtl/>
                    </w:rPr>
                    <w:t>2. מועצה דתית.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94" o:spid="_x0000_s1031" type="#_x0000_t202" style="position:absolute;left:0;text-align:left;margin-left:84.8pt;margin-top:58.5pt;width:465.7pt;height:557.75pt;z-index:5;mso-position-horizontal-relative:page;mso-position-vertical-relative:page" stroked="f">
            <v:textbox style="mso-next-textbox:#_x0000_s515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5857"/>
                    <w:gridCol w:w="1309"/>
                  </w:tblGrid>
                  <w:tr w:rsidR="00AF4F3F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לא יעסוק בכל עסק או בבל עיסוק נוסף, לרבות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המותר לפי סעיף קטן (ג)" אף שלא בתמורה, אם יש בעיסוק אחד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פגיעה בכבוד הכנסת, במעמדו בחבר הכנסת או בחובותיו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הכנסת-,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חשש של ניצול לרעה או השגת כל יתרון או העדפה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אישיים בשל היותו חבר הכנסת;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אפשרות של ניגוד ענינים בין העיסוק הנוסף לבין תפקידו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 הכנסת.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יראו כעיסוק בעסק או כעיסוק נוסף -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החזקה בלבד של מניות בתאגיד;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קבלת הכנסות מנכס של חבר הכנסת או של משפחתו;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חברות בקיבוץ; לענין זה, ''קיבוץ'' - לרבות מושב שיתופי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אגורה שיתופית להתיישבות שהכנסותיה אינן מחולקות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בעיקרן לחבריה;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קבלת הכנסה מיצירה ספרותית, דרמטית, מוסיקלית או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אמנותית.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יראו כעיסוק נוסף פעילות במסגרת הסיעה או המפלגה,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שחבר הכנסת אינו מקבל שכר עבור פעילות זו; ואולם, רשאי חבר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לקבל מהסיעה או מהמפלגה לצורך פעילותו זו משרד, שירותי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משרד, רכב ונהג.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זה לא יחול בתקופה של ששת החודשים הראשונים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לכהונתו של חבר הכנסת, ובלבד שערב אותה תקופה לא כיהן כחבר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הכנסת.''</w:t>
                        </w:r>
                      </w:p>
                    </w:tc>
                    <w:tc>
                      <w:tcPr>
                        <w:tcW w:w="773" w:type="pct"/>
                      </w:tcPr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F4F3F" w:rsidRPr="00AF54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F4F3F" w:rsidRPr="00AF54C9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13א1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AF4F3F" w:rsidRPr="00AF54C9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3וא לחוק העיקרי יבוא:</w:t>
                        </w:r>
                      </w:p>
                    </w:tc>
                  </w:tr>
                  <w:tr w:rsidR="00AF4F3F" w:rsidRPr="00AF54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13או. (א) חבר הכנסת לא יכהן כנבחר בגוף ציבורי, אף שלא בתמורה;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המכהן כנבחר בגוף ציבורי, חברותו באותו גוף תפקע ביום היותו לחבר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הכנסת-,</w:t>
                        </w:r>
                      </w:p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''גוף ציבורי" - גוף מהגופים המנויים בתוספת.'</w:t>
                        </w:r>
                      </w:p>
                    </w:tc>
                    <w:tc>
                      <w:tcPr>
                        <w:tcW w:w="773" w:type="pct"/>
                      </w:tcPr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'איסור לכהן</w:t>
                        </w:r>
                      </w:p>
                      <w:p w:rsidR="00AF4F3F" w:rsidRPr="00AF54C9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כנבחר ציבור</w:t>
                        </w:r>
                      </w:p>
                    </w:tc>
                  </w:tr>
                  <w:tr w:rsidR="00AF4F3F" w:rsidRPr="00AF54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F4F3F" w:rsidRPr="00AF54C9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13ד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AF4F3F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13ד (א) לחוק העיקרי, במקום פסקה (ו) יבוא:</w:t>
                        </w:r>
                      </w:p>
                      <w:p w:rsidR="00AF4F3F" w:rsidRPr="00AF54C9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עבר על הוראות סעיפים 13א או 13או או לא קיים הוראה לפיהם."</w:t>
                        </w:r>
                      </w:p>
                    </w:tc>
                  </w:tr>
                  <w:tr w:rsidR="00AF4F3F" w:rsidRPr="00AF54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F4F3F" w:rsidRPr="00AF54C9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AF4F3F" w:rsidRPr="00AF54C9" w:rsidRDefault="00AF4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16 לחוק העיקרי יבוא:</w:t>
                        </w:r>
                      </w:p>
                    </w:tc>
                  </w:tr>
                </w:tbl>
                <w:p w:rsidR="00AF4F3F" w:rsidRDefault="00AF4F3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F4F3F" w:rsidRDefault="00AF4F3F">
      <w:pPr>
        <w:rPr>
          <w:rtl/>
        </w:rPr>
      </w:pPr>
      <w:r>
        <w:rPr>
          <w:rtl/>
        </w:rPr>
        <w:br w:type="page"/>
      </w:r>
    </w:p>
    <w:p w:rsidR="00AF4F3F" w:rsidRDefault="00000000">
      <w:pPr>
        <w:rPr>
          <w:rtl/>
        </w:rPr>
      </w:pPr>
      <w:r>
        <w:pict>
          <v:shape id="_x0000_s5159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1595" inset="0,0,0,0">
              <w:txbxContent>
                <w:p w:rsidR="00AF4F3F" w:rsidRDefault="00AF4F3F">
                  <w:r>
                    <w:rPr>
                      <w:rtl/>
                    </w:rPr>
                    <w:t>352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96" o:spid="_x0000_s1033" type="#_x0000_t202" style="position:absolute;left:0;text-align:left;margin-left:100.8pt;margin-top:712.05pt;width:191.05pt;height:23.95pt;z-index:13;mso-position-horizontal-relative:page;mso-position-vertical-relative:page" stroked="f">
            <v:textbox style="mso-next-textbox:#_x0000_s51596" inset="0,0,0,0">
              <w:txbxContent>
                <w:p w:rsidR="00AF4F3F" w:rsidRDefault="00AF4F3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597" o:spid="_x0000_s1034" type="#_x0000_t202" style="position:absolute;left:0;text-align:left;margin-left:315.25pt;margin-top:686.1pt;width:173.05pt;height:21.6pt;z-index:12;mso-position-horizontal-relative:page;mso-position-vertical-relative:page" stroked="f">
            <v:textbox style="mso-next-textbox:#_x0000_s51597" inset="0,0,0,0">
              <w:txbxContent>
                <w:p w:rsidR="00AF4F3F" w:rsidRPr="00AF4F3F" w:rsidRDefault="00AF4F3F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2 ס'ח התש''ט, עמ' 41; התש'ן, עמ' 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98" o:spid="_x0000_s1035" type="#_x0000_t202" style="position:absolute;left:0;text-align:left;margin-left:133.5pt;margin-top:643.9pt;width:89.7pt;height:36.25pt;z-index:11;mso-position-horizontal-relative:page;mso-position-vertical-relative:page" stroked="f">
            <v:textbox style="mso-next-textbox:#_x0000_s51598" inset="0,0,0,0">
              <w:txbxContent>
                <w:p w:rsidR="00AF4F3F" w:rsidRDefault="00AF4F3F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F4F3F" w:rsidRDefault="00AF4F3F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99" o:spid="_x0000_s1036" type="#_x0000_t202" style="position:absolute;left:0;text-align:left;margin-left:243pt;margin-top:618.95pt;width:97.2pt;height:38.8pt;z-index:10;mso-position-horizontal-relative:page;mso-position-vertical-relative:page" stroked="f">
            <v:textbox style="mso-next-textbox:#_x0000_s51599" inset="0,0,0,0">
              <w:txbxContent>
                <w:p w:rsidR="00AF4F3F" w:rsidRDefault="00AF4F3F">
                  <w:pPr>
                    <w:pStyle w:val="OCRStyle3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F4F3F" w:rsidRDefault="00AF4F3F">
                  <w:pPr>
                    <w:pStyle w:val="OCRStyle3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00" o:spid="_x0000_s1037" type="#_x0000_t202" style="position:absolute;left:0;text-align:left;margin-left:350.5pt;margin-top:650.05pt;width:122.15pt;height:32.65pt;z-index:9;mso-position-horizontal-relative:page;mso-position-vertical-relative:page" stroked="f">
            <v:textbox style="mso-next-textbox:#_x0000_s51600" inset="0,0,0,0">
              <w:txbxContent>
                <w:p w:rsidR="00AF4F3F" w:rsidRDefault="00AF4F3F">
                  <w:pPr>
                    <w:pStyle w:val="OCRStyle3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F4F3F" w:rsidRDefault="00AF4F3F">
                  <w:pPr>
                    <w:pStyle w:val="OCRStyle3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01" o:spid="_x0000_s1038" type="#_x0000_t202" style="position:absolute;left:0;text-align:left;margin-left:87.95pt;margin-top:57.65pt;width:473.4pt;height:558.75pt;z-index:8;mso-position-horizontal-relative:page;mso-position-vertical-relative:page" stroked="f">
            <v:textbox style="mso-next-textbox:#_x0000_s5160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42"/>
                    <w:gridCol w:w="1938"/>
                    <w:gridCol w:w="1327"/>
                  </w:tblGrid>
                  <w:tr w:rsidR="00AF4F3F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ההסתדרות הכללית החדשה.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הסתדרות העובדים הלאומית.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ההסתדרות הציונית העולמית."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F4F3F" w:rsidRPr="00AF4F3F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בחוק שכר חברי הכנסת, התש"ט-21949 -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5, במקום פסקה (4) יבוא: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תשלומים לקרן השתלמות, שהועדה הכירה בה לענין זה, עבור חבר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שהצטרף לקרן.";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10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חברי</w:t>
                        </w:r>
                      </w:p>
                      <w:p w:rsidR="00AF4F3F" w:rsidRP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- מס' 15</w:t>
                        </w:r>
                      </w:p>
                    </w:tc>
                  </w:tr>
                  <w:tr w:rsidR="00AF4F3F">
                    <w:trPr>
                      <w:jc w:val="right"/>
                    </w:trPr>
                    <w:tc>
                      <w:tcPr>
                        <w:tcW w:w="3103" w:type="pct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משכורתם של חברי הכנסת כפי שהיא ביום י"ז בתשרי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התשנ''ז (30 בספטמבר 1996) תועלה החל ביום י"ח בתשרי התשנ"ז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באוקטובר 1996) ב-33%."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AF4F3F" w:rsidRP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"הוראה מיוחדת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F4F3F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הוראת סעיף 13א1 תחול על נבחרים בגוף ציבורי שכיהנו כחברי הכנסת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השלוש-עשרה והמבחנים בכנסת הארבע-עשרה, ביום תחילתה של הכנסת הארבע-עשרה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בתום מועד הכהונה באותו גוף ציבורי, שאליה נבחרו, לפי המועד המאוחר יותר, ובלבד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שנבחרו לכהונה האמורה לפני יום תחילתו של חוק זה וכהונתם זו היא בהתנדבות וללא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תמורה.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שסעיף קטן (א) חל עליו, רשאי להשתמש ברכב של הגוף הציבורי</w:t>
                        </w:r>
                      </w:p>
                      <w:p w:rsidR="00AF4F3F" w:rsidRP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שאליו נבחר ושבו הוא מכהן ללא תמורה, לצורך אותה כהונה.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</w:tr>
                  <w:tr w:rsidR="00AF4F3F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ביום י"ח בתשרי התשנ"ז (ו באוקטובר 1996) למעט -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13א1 לחוק העיקרי המובא בסעיף 2, שתחילתו תהא ביום תחילת כהונתה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הארבע-עשרה;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5(4) לחוק שכר חברי הכנסת, התש"ט-1949, כנוסחו בסעיף 5(1) לחוק זה,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שתחילתו ביום פרסומו של חוק זה.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AF4F3F" w:rsidRPr="00AF4F3F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בשנת 1996 ועד ליום תחילתו של חוק זה, יהיה חבר הכנסת רשאי להשתכר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מעיסוק נוסף מחצית מהכנסתו כחבר הכנסת באותה תקופה.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הצהרת חבר הכנסת לפי סעיף 13א לחוק העיקרי, כנוסחו ערב תחילתו של חוק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על הכנסתו מעסק או מעיסוק נוסף בשנת 1996, תוגש עד תום תקופת כהונתה של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השלוש-עשרה; קיבל חבר הכנסת, לאחר תחילתו של חוק זה, הכנסה מעסק או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מעיסוק נוסף שהיו מותרים בתקופה שקדמה לתחילתו, יצהיר על כך במועד ובטופס שקבע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הכנסת.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חבר הכנסת שלא קיים הוראות סעיף זה, יחולו הוראות סעיף 13ד לחוק</w:t>
                        </w:r>
                      </w:p>
                      <w:p w:rsid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F4F3F" w:rsidRPr="00AF4F3F" w:rsidRDefault="00AF4F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AF4F3F" w:rsidRDefault="00AF4F3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108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BB1524-C419-45B6-B38B-C71D66DF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083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F54C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F4F3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2008-04-07T10:19:00Z</dcterms:created>
  <dcterms:modified xsi:type="dcterms:W3CDTF">2008-04-07T10:20:00Z</dcterms:modified>
</cp:coreProperties>
</file>