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4F0C" w:rsidRDefault="00BC4F0C">
      <w:pPr>
        <w:rPr>
          <w:rtl/>
        </w:rPr>
      </w:pPr>
    </w:p>
    <w:p w:rsidR="00BC4F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7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721" inset="0,0,0,0">
              <w:txbxContent>
                <w:p w:rsidR="00774ABB" w:rsidRDefault="00774ABB">
                  <w:r>
                    <w:rPr>
                      <w:rtl/>
                    </w:rPr>
                    <w:t>78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22" o:spid="_x0000_s1026" type="#_x0000_t202" style="position:absolute;left:0;text-align:left;margin-left:96.5pt;margin-top:676.65pt;width:380.35pt;height:55.25pt;z-index:3;mso-wrap-style:none;mso-position-horizontal-relative:page;mso-position-vertical-relative:page" stroked="f">
            <v:textbox style="mso-next-textbox:#_x0000_s51722" inset="0,0,0,0">
              <w:txbxContent>
                <w:p w:rsidR="00774ABB" w:rsidRDefault="00774ABB">
                  <w:pPr>
                    <w:pStyle w:val="OCRStyle1"/>
                    <w:ind w:left="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? נתקבל בכנסת ביום כ"ה באדר א' התשמ"ד (28 בפברואר 1984); הצעת החוק ודברי הסבר פורסמו בה''ח 1348,</w:t>
                  </w:r>
                </w:p>
                <w:p w:rsidR="00774ABB" w:rsidRPr="00BC4F0C" w:rsidRDefault="00774ABB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התשל''ח, עמ' 237.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23" o:spid="_x0000_s1027" type="#_x0000_t202" style="position:absolute;left:0;text-align:left;margin-left:81.65pt;margin-top:99.3pt;width:479.35pt;height:573.2pt;z-index:2;mso-wrap-style:none;mso-position-horizontal-relative:page;mso-position-vertical-relative:page" stroked="f">
            <v:textbox style="mso-next-textbox:#_x0000_s51723" inset="0,0,0,0">
              <w:txbxContent>
                <w:tbl>
                  <w:tblPr>
                    <w:tblW w:w="51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2"/>
                    <w:gridCol w:w="1355"/>
                  </w:tblGrid>
                  <w:tr w:rsidR="00774ABB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הוראות יסוד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אלה בתי המשפט שסמכות שפיטה נתונה בידיהם: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המשפט העליון;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משפט מחוזי;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משפט שלום;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משפט אחר שבקבע בחוק כבית משפט;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"שופט" - שופט של בית משפט כאמור.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שפיטה נתונה גם בידי אלה :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דין דתי;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דין אחר;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רשות אחרת,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כפי שנקבע בחוק.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יוקם בית משפט או בית דין למקרה מיוחד.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שפיטה</w:t>
                        </w: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בעניני שפיטה אין מרות על מי שבידו סמכות שפיטה, זולת מרותו של הדין.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</w:t>
                        </w: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בית משפט ידון בפומבי, זולת אם נקבע אחרת בחוק או אם בית המשפט הורה</w:t>
                        </w:r>
                      </w:p>
                      <w:p w:rsidR="00774ABB" w:rsidRPr="00BC4F0C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לפי חוק.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הדיון</w:t>
                        </w:r>
                      </w:p>
                    </w:tc>
                  </w:tr>
                  <w:tr w:rsidR="00774ABB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בי: השופטים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שופט יתמנה בידי נשיא המדינה לפי בחירה של ועדה לבחירת שופטים.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תהיה של תשעה חברים, שהם נשיא בית המשפט העליון, שני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אחרים של בית המשפט העליון שיבחר חבר שופטיו, שר המשפטים ושר אחר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הממשלה, שני חברי הכנסת שתבחר הכנסת ושני נציגים של לשכת עורכי הדין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שתבחר המועצה הארצית של הלשכה; שר המשפטים יהיה יושב ראש הועדה.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לפעול אף אם פחת מספר חבריה, כל עוד לא פחת משבעה,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שופטיס</w:t>
                        </w: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יתמנה שופט אלא אזרח ישראל.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אזרחות</w:t>
                        </w: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שנתמנה שופט יצהיר הצהרת אמונים לפני נשיא המדינה; ואלה דברי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ההצהרה: "אני מתחייב לשמור אמונים למדינת ישראל ולחוקיה, לשפוט משפט צדק,</w:t>
                        </w:r>
                      </w:p>
                      <w:p w:rsidR="00774ABB" w:rsidRPr="00BC4F0C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להטות משפט ולא להכיר פנים".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</w:tc>
                  </w:tr>
                  <w:tr w:rsidR="00774ABB" w:rsidRPr="00BC4F0C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כהונת שופט תתחיל מעת שהצהיר הצהרת אמונים ולא תסתיים אלא באחת</w:t>
                        </w:r>
                      </w:p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774ABB" w:rsidRPr="00BC4F0C" w:rsidRDefault="00774A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בצאתו לקיצבה ;</w:t>
                        </w:r>
                      </w:p>
                    </w:tc>
                    <w:tc>
                      <w:tcPr>
                        <w:tcW w:w="777" w:type="pct"/>
                      </w:tcPr>
                      <w:p w:rsidR="00774ABB" w:rsidRPr="00BC4F0C" w:rsidRDefault="00774A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774ABB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774ABB" w:rsidRDefault="00774A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74ABB" w:rsidRDefault="00774A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24" o:spid="_x0000_s1028" type="#_x0000_t202" style="position:absolute;left:0;text-align:left;margin-left:220.25pt;margin-top:67pt;width:138.6pt;height:25.55pt;z-index:1;mso-wrap-style:none;mso-position-horizontal-relative:page;mso-position-vertical-relative:page" stroked="f">
            <v:textbox style="mso-next-textbox:#_x0000_s51724" inset="0,0,0,0">
              <w:txbxContent>
                <w:p w:rsidR="00774ABB" w:rsidRPr="00BC4F0C" w:rsidRDefault="00774ABB">
                  <w:pPr>
                    <w:pStyle w:val="OCRStyle1"/>
                    <w:ind w:left="39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חוק-יסוד: השפיטה*</w:t>
                  </w:r>
                </w:p>
              </w:txbxContent>
            </v:textbox>
            <w10:wrap anchorx="page" anchory="page"/>
          </v:shape>
        </w:pict>
      </w:r>
    </w:p>
    <w:p w:rsidR="00F14097" w:rsidRDefault="00F14097">
      <w:pPr>
        <w:rPr>
          <w:rtl/>
        </w:rPr>
      </w:pPr>
      <w:r>
        <w:rPr>
          <w:rtl/>
        </w:rPr>
        <w:br w:type="page"/>
      </w:r>
    </w:p>
    <w:p w:rsidR="00F14097" w:rsidRDefault="00000000">
      <w:pPr>
        <w:rPr>
          <w:rtl/>
        </w:rPr>
      </w:pPr>
      <w:r>
        <w:pict>
          <v:shape id="_x0000_s517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725" inset="0,0,0,0">
              <w:txbxContent>
                <w:p w:rsidR="00774ABB" w:rsidRDefault="00774ABB">
                  <w:r>
                    <w:rPr>
                      <w:rtl/>
                    </w:rPr>
                    <w:t>79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26" o:spid="_x0000_s1030" type="#_x0000_t202" style="position:absolute;left:0;text-align:left;margin-left:362.1pt;margin-top:704.35pt;width:186.5pt;height:30.5pt;z-index:6;mso-wrap-style:none;mso-position-horizontal-relative:page;mso-position-vertical-relative:page" stroked="f">
            <v:textbox style="mso-next-textbox:#_x0000_s51726" inset="0,0,0,0">
              <w:txbxContent>
                <w:p w:rsidR="00774ABB" w:rsidRDefault="00774A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727" o:spid="_x0000_s1031" type="#_x0000_t202" style="position:absolute;left:0;text-align:left;margin-left:84.1pt;margin-top:66.6pt;width:466.1pt;height:605.5pt;z-index:5;mso-wrap-style:none;mso-position-horizontal-relative:page;mso-position-vertical-relative:page" stroked="f">
            <v:textbox style="mso-next-textbox:#_x0000_s51727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7161"/>
                  </w:tblGrid>
                  <w:tr w:rsidR="00774ABB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בהתפטרותו ;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בהיבחרו או במינויו לאחד התפקידים שנושאיהם מנועים מלהיות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לכנסת;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פי החלטה של הועדה לבחירת שופטים שהציע יושב ראש הועדה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נשיא בית המשפט העליון ושנתקבלה ברוב של שבעה חברים לפחות;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פי החלטה של בית הדין המשמעתי.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6017 שפרש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שופט שיצא לקיצבה יכול שיתמנה לתפקיד של שופט, לזמן, בדרך ובתנאים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בחוק.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לשינוי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יועבר שופט דרך קבע ממקום כהונתו לבית משפט במקום אחר אלא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נשיא בית המשפט העליון או על פי החלטת בית הדין המשמעתי.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שופט לכהונה בפועל בבית משפט של דרגה נמוכה יותר אלא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בהסכמתו. 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וגמלאות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משכורותיהם של שופטים ותשלומים אחרים שישולמו להם, בתקופת כהונתם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לאחריה, או לשאיריהם לאחר מותם, ייקבעו בחוק או בהחלטה של הכנסת או של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מועדותיה שהכנסת הסמיכה לכך.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תתקבל החלטה המכוונת להפחית ממשכורתם של שופטים בלבד.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הכהונה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שופט לא יעסוק בעיסוק נוסף ולא ימלא תפקיד ציבורי, אלא לפי חוק או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נשיא בית המשפט העליון ושר המשפטים.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שיטוט פלילי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לא תיפתח חקירה פלילית נגד שופט אלא בהסכמת היועץ המשפטי לממשלה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יוגש כתב אישום נגד שופט אלא בידי היועץ המשפטי לממשלה.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יידון אישום פלילי נגד שופט אלא לפני בית משפט מחוזי בהרכב של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שופטים, זולת אם הסכים השופט שהאישום יידון בדרך הרגילה.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סוגי עבירות שנקבעו בחוק.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משמעתי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שופט נתון לשיפוט של בית דין משמעתי.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יהיה מורכב משופטים או שופטים שיצאו לקיצבה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נשיא בית המשפט העליון.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בדבר העילות לדין המשמעתי, דרכי הקבילה, הרכב המותב,</w:t>
                        </w:r>
                      </w:p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של בית הדין המשמעתי ואמצעי המשמעת שהוא רשאי להטיל ייקבעו בחוק;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יהיו לפי חוק.</w:t>
                        </w:r>
                      </w:p>
                    </w:tc>
                  </w:tr>
                  <w:tr w:rsidR="00774ABB" w:rsidRPr="00F14097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774ABB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הוגשה על שופט קובלנה או הוגש נגדו כתב אישום, רשאי נשיא בית המשפט</w:t>
                        </w:r>
                      </w:p>
                      <w:p w:rsidR="00774ABB" w:rsidRPr="00F14097" w:rsidRDefault="00774A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להשעות את השופט לתקופה שיקבע.</w:t>
                        </w:r>
                      </w:p>
                    </w:tc>
                  </w:tr>
                </w:tbl>
                <w:p w:rsidR="00774ABB" w:rsidRDefault="00774A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E1D3B" w:rsidRDefault="00CE1D3B">
      <w:pPr>
        <w:rPr>
          <w:rtl/>
        </w:rPr>
      </w:pPr>
      <w:r>
        <w:rPr>
          <w:rtl/>
        </w:rPr>
        <w:br w:type="page"/>
      </w:r>
    </w:p>
    <w:p w:rsidR="00CE1D3B" w:rsidRDefault="00000000">
      <w:pPr>
        <w:rPr>
          <w:rtl/>
        </w:rPr>
      </w:pPr>
      <w:r>
        <w:pict>
          <v:shape id="_x0000_s51728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728" inset="0,0,0,0">
              <w:txbxContent>
                <w:p w:rsidR="00774ABB" w:rsidRDefault="00774ABB">
                  <w:r>
                    <w:rPr>
                      <w:rtl/>
                    </w:rPr>
                    <w:t>80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29" o:spid="_x0000_s1033" type="#_x0000_t202" style="position:absolute;left:0;text-align:left;margin-left:90.3pt;margin-top:712.8pt;width:177.4pt;height:27.9pt;z-index:10;mso-wrap-style:none;mso-position-horizontal-relative:page;mso-position-vertical-relative:page" stroked="f">
            <v:textbox style="mso-next-textbox:#_x0000_s51729" inset="0,0,0,0">
              <w:txbxContent>
                <w:p w:rsidR="00774ABB" w:rsidRDefault="00774A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730" o:spid="_x0000_s1034" type="#_x0000_t202" style="position:absolute;left:0;text-align:left;margin-left:86.15pt;margin-top:98.8pt;width:477.75pt;height:610.45pt;z-index:9;mso-wrap-style:none;mso-position-horizontal-relative:page;mso-position-vertical-relative:page" stroked="f">
            <v:textbox style="mso-next-textbox:#_x0000_s51730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7"/>
                    <w:gridCol w:w="1260"/>
                  </w:tblGrid>
                  <w:tr w:rsidR="00774ABB" w:rsidRPr="00CE1D3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מקום מושבו של בית המשפט העליון הוא ירושלים.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העליון ידון בערעורים על פסקי דין ועל החלטות אחרות של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המחוזיים.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העליון ישב גם כבית משפט גבוה לצדק; בשבתו כאמור ידון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אשר הוא רואה צורך לתת בהם סעד למען הצדק ואשר אינם בסמכותו של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של בית דין אחר.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מבלי לפגוע בכלליות ההוראות שבסעיף קטן (ג), מוסמר בית המשפט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בשבתו כבית משפט גבוה לצדק -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צווים על שחרור אנשים שנעצרו או נאסרו שלא כדין;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לתת צווים לרשויות המדינה, לרשויות מקומיות, לפקידיהן ולגופים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ולאנשים אחרים הממלאים תפקידים ציבוריים על פי דין, לעשות מעשה או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מעשות מעשה במילוי תפקידיהם כדין, ואם נבחרו או נתמנו שלא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- להימנע מלפעול;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לתת צווים לבתי משפט, לבתי דין ולגופים ואנשים בעלי סמכויות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שיפוטיות או מעין-שיפוטיות על פי דין - למעט בתי משפט שחוק זה דן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ולמעט בתי דין דתיים - לדון בענין פלוני או להימנע מלדון או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מלהוסיף ולדון בענין פלוני, ולבטל דיון שנתקיים או החלטה שניתנה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כדין;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לתת צווים לבתי דין דתיים לדון בענין פלוני לפי סמכותם או להימנע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מלדון או מלהוסיף ולדון בענין פלוני שלא לפי סמכותם; ובלבד שלא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ייזקק בית המשפט לבקשה לפי פסקה זו אם המבקש לא עורר את שאלת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בהזדמנות הראשונה שהיתה לו; ואם לא היתה לו הזדמנות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לעורר שאלת הסמכות עד שניתנה החלטה על ידי בית הדין הדתי,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לבטל דיון שנתקיים או החלטה שניתנה על ידי בית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הדתי ללא סמכות.</w:t>
                        </w:r>
                      </w:p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סמכויות אחרות של בית המשפט העליון ייקבעו בחוק.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</w:t>
                        </w:r>
                      </w:p>
                    </w:tc>
                  </w:tr>
                  <w:tr w:rsidR="00774ABB" w:rsidRPr="00CE1D3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בתי משפט מחוזיים, בתי משפט שלום ובתי משפט אחרים - הקמתם, סמכויו-</w:t>
                        </w:r>
                      </w:p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תיהם, מקום מושבם ואזורי שיפוטם, יהיו לפי חוק.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משפט</w:t>
                        </w:r>
                      </w:p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774ABB" w:rsidRPr="00CE1D3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פסק דין של בית משפט בערכאה ראשונה ניתן לערעור בזכות, להוציא פסק דין</w:t>
                        </w:r>
                      </w:p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העליון.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774ABB" w:rsidRPr="00CE1D3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ענין שפסק בית המשפט העליון בשלושה, ניתן לקיים בו דיון נוסף בבית המשפט</w:t>
                        </w:r>
                      </w:p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בחמישה או יותר, בעילות שנקבעו בחוק ובדרך שנקבעה לפי חוק.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נוסף</w:t>
                        </w:r>
                      </w:p>
                    </w:tc>
                  </w:tr>
                  <w:tr w:rsidR="00774ABB" w:rsidRPr="00CE1D3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74AB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בענין פלילי שנפסק בו סופית ניתן לקיים משפט חוזר בעילות שנקבעו בחוק</w:t>
                        </w:r>
                      </w:p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ובדרך שנקבעה לפי חוק.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חוזר</w:t>
                        </w:r>
                      </w:p>
                    </w:tc>
                  </w:tr>
                  <w:tr w:rsidR="00774ABB" w:rsidRPr="00CE1D3B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הלכה שנפסקה בבית משפט תנחה בית משפט של דרגה נמוכה ממנו.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74ABB" w:rsidRPr="00CE1D3B" w:rsidRDefault="00774A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הלכה פסוקה</w:t>
                        </w:r>
                      </w:p>
                    </w:tc>
                  </w:tr>
                </w:tbl>
                <w:p w:rsidR="00774ABB" w:rsidRDefault="00774A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731" o:spid="_x0000_s1035" type="#_x0000_t202" style="position:absolute;left:0;text-align:left;margin-left:231.25pt;margin-top:71.7pt;width:107.3pt;height:22.95pt;z-index:8;mso-wrap-style:none;mso-position-horizontal-relative:page;mso-position-vertical-relative:page" stroked="f">
            <v:textbox style="mso-next-textbox:#_x0000_s51731" inset="0,0,0,0">
              <w:txbxContent>
                <w:p w:rsidR="00774ABB" w:rsidRDefault="00774ABB">
                  <w:pPr>
                    <w:pStyle w:val="OCRStyle3"/>
                    <w:ind w:left="155"/>
                  </w:pPr>
                  <w:r>
                    <w:rPr>
                      <w:rtl/>
                    </w:rPr>
                    <w:t>פרק ג': בתי המשפט</w:t>
                  </w:r>
                </w:p>
              </w:txbxContent>
            </v:textbox>
            <w10:wrap anchorx="page" anchory="page"/>
          </v:shape>
        </w:pict>
      </w:r>
    </w:p>
    <w:p w:rsidR="00774ABB" w:rsidRDefault="00774ABB">
      <w:pPr>
        <w:rPr>
          <w:rtl/>
        </w:rPr>
      </w:pPr>
      <w:r>
        <w:rPr>
          <w:rtl/>
        </w:rPr>
        <w:br w:type="page"/>
      </w:r>
    </w:p>
    <w:p w:rsidR="00774ABB" w:rsidRDefault="00000000">
      <w:pPr>
        <w:rPr>
          <w:rtl/>
        </w:rPr>
      </w:pPr>
      <w:r>
        <w:pict>
          <v:shape id="_x0000_s51732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1732" inset="0,0,0,0">
              <w:txbxContent>
                <w:p w:rsidR="00774ABB" w:rsidRDefault="00774ABB">
                  <w:r>
                    <w:rPr>
                      <w:rtl/>
                    </w:rPr>
                    <w:t>81                                          ספר החוקים 1110                 ד' באדר ב' התשמ"ד 08.03.1984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33" o:spid="_x0000_s1037" type="#_x0000_t202" style="position:absolute;left:0;text-align:left;margin-left:354.85pt;margin-top:704.9pt;width:185.7pt;height:32.1pt;z-index:15;mso-wrap-style:none;mso-position-horizontal-relative:page;mso-position-vertical-relative:page" stroked="f">
            <v:textbox style="mso-next-textbox:#_x0000_s51733" inset="0,0,0,0">
              <w:txbxContent>
                <w:p w:rsidR="00774ABB" w:rsidRDefault="00774A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734" o:spid="_x0000_s1038" type="#_x0000_t202" style="position:absolute;left:0;text-align:left;margin-left:221.2pt;margin-top:556.4pt;width:95.85pt;height:42pt;z-index:14;mso-wrap-style:none;mso-position-horizontal-relative:page;mso-position-vertical-relative:page" stroked="f">
            <v:textbox style="mso-next-textbox:#_x0000_s51734" inset="0,0,0,0">
              <w:txbxContent>
                <w:p w:rsidR="00774ABB" w:rsidRDefault="00774ABB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74ABB" w:rsidRDefault="00774ABB">
                  <w:pPr>
                    <w:pStyle w:val="OCRStyle4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35" o:spid="_x0000_s1039" type="#_x0000_t202" style="position:absolute;left:0;text-align:left;margin-left:417.65pt;margin-top:586.1pt;width:99pt;height:40.4pt;z-index:13;mso-wrap-style:none;mso-position-horizontal-relative:page;mso-position-vertical-relative:page" stroked="f">
            <v:textbox style="mso-next-textbox:#_x0000_s51735" inset="0,0,0,0">
              <w:txbxContent>
                <w:p w:rsidR="00774ABB" w:rsidRDefault="00774ABB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774ABB" w:rsidRDefault="00774ABB">
                  <w:pPr>
                    <w:pStyle w:val="OCRStyle4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36" o:spid="_x0000_s1040" type="#_x0000_t202" style="position:absolute;left:0;text-align:left;margin-left:101.25pt;margin-top:63.75pt;width:438pt;height:478.55pt;z-index:12;mso-wrap-style:none;mso-position-horizontal-relative:page;mso-position-vertical-relative:page" stroked="f">
            <v:textbox style="mso-next-textbox:#_x0000_s51736" inset="0,0,0,0">
              <w:txbxContent>
                <w:tbl>
                  <w:tblPr>
                    <w:tblW w:w="46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8"/>
                    <w:gridCol w:w="6994"/>
                  </w:tblGrid>
                  <w:tr w:rsidR="00774ABB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2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הלכה שנפסקה בבית המשפט העליון מחייבת כל בית משפט, זולת בית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</w:t>
                        </w:r>
                      </w:p>
                    </w:tc>
                  </w:tr>
                  <w:tr w:rsidR="00774ABB" w:rsidRPr="00774ABB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רשמים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לבית משפט יכול שיהיה רשם, בין שופט ובין שאינו שופט.</w:t>
                        </w:r>
                      </w:p>
                    </w:tc>
                  </w:tr>
                  <w:tr w:rsidR="00774ABB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2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הוראות שונות</w:t>
                        </w:r>
                      </w:p>
                    </w:tc>
                  </w:tr>
                  <w:tr w:rsidR="00774ABB" w:rsidRPr="00774ABB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החוק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אין בכוחו של תקנות שעת חירום לשנות חוק זה, להפקיע זמנית את תקפו או</w:t>
                        </w:r>
                      </w:p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בו תנאים.</w:t>
                        </w:r>
                      </w:p>
                    </w:tc>
                  </w:tr>
                  <w:tr w:rsidR="00774ABB" w:rsidRPr="00774ABB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בחוק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בענינים אלה ייקבעו הוראות בחוק: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הבחירה של חברי הועדה לבחירת שופטים, ומשך כהונתם;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כשירויות לכהונת שופטים לדרגותיהם;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מינויים של נשיא בית המשפט העליון, המשנה לנשיא בית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נשיא וסגן נשיא של בית משפט מחוזי ושל בית משפט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התנאים וההליכים לסיום כהונתו של שופט;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הדרכים למינוי שופט לכהונה בפועל בבית משפט אחר ולהעברת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שופט, דרך ארעי או דרך קבע, ממקום כהונתו לבית משפט במקום אחר;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הליכי השעייתו של שופט, והעיון מחדש בהשעיה;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הענינים שבהם ידונו בתי המשפט לדרגותיהם בשופט אחד, בשלושה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או ביותר;</w:t>
                        </w:r>
                      </w:p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דרכי קביעת השופט או השופטים שידונו בענין פלוני.</w:t>
                        </w:r>
                      </w:p>
                    </w:tc>
                  </w:tr>
                  <w:tr w:rsidR="00774ABB" w:rsidRPr="00774ABB">
                    <w:trPr>
                      <w:jc w:val="right"/>
                    </w:trPr>
                    <w:tc>
                      <w:tcPr>
                        <w:tcW w:w="608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 חוק</w:t>
                        </w:r>
                      </w:p>
                    </w:tc>
                    <w:tc>
                      <w:tcPr>
                        <w:tcW w:w="4392" w:type="pct"/>
                      </w:tcPr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בענינים אלה ייקבעו הוראות לפי חוק: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המינהל של בתי המשפט, קביעתם והאחריות לביצועם;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העבודה של הועדה לבחירת שופטים;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דרך התפטרותו של שופט ;</w:t>
                        </w:r>
                      </w:p>
                      <w:p w:rsid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דרך מינויו של רשם של בית משפט וסמכויותיו;</w:t>
                        </w:r>
                      </w:p>
                      <w:p w:rsidR="00774ABB" w:rsidRPr="00774ABB" w:rsidRDefault="00774A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מספר השופטים שיכהנו בבתי המשפט לדרגותיהם ומקומותיהם.</w:t>
                        </w:r>
                      </w:p>
                    </w:tc>
                  </w:tr>
                </w:tbl>
                <w:p w:rsidR="00774ABB" w:rsidRDefault="00774A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4F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40173C-C393-47FC-9489-85FC0925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4F0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1409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E1D3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74A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2008-04-07T01:40:00Z</dcterms:created>
  <dcterms:modified xsi:type="dcterms:W3CDTF">2008-04-07T01:40:00Z</dcterms:modified>
</cp:coreProperties>
</file>