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32EF8" w:rsidRDefault="00932EF8">
      <w:pPr>
        <w:rPr>
          <w:rtl/>
        </w:rPr>
      </w:pPr>
    </w:p>
    <w:p w:rsidR="00932EF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1901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51901" inset="0,0,0,0">
              <w:txbxContent>
                <w:p w:rsidR="00932EF8" w:rsidRDefault="00932EF8">
                  <w:r>
                    <w:rPr>
                      <w:rtl/>
                    </w:rPr>
                    <w:t>142                                         ספר החוקים 1390                י"ט באדר ב' התשנ"ב 24.03.1992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51902" o:spid="_x0000_s1026" type="#_x0000_t202" style="position:absolute;left:0;text-align:left;margin-left:77.85pt;margin-top:649.7pt;width:387.5pt;height:105.75pt;z-index:7;mso-position-horizontal-relative:page;mso-position-vertical-relative:page" stroked="f">
            <v:textbox style="mso-next-textbox:#_x0000_s51902" inset="0,0,0,0">
              <w:txbxContent>
                <w:p w:rsidR="00932EF8" w:rsidRDefault="00932EF8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י"א באדר ב' התשנ"ב (16 במרס 1992) ;הצעת החוק ודברי הסבר פורסמו בה1עות חוק 2057 מיום ח'</w:t>
                  </w:r>
                </w:p>
                <w:p w:rsidR="00932EF8" w:rsidRDefault="00932EF8">
                  <w:pPr>
                    <w:pStyle w:val="OCRStyle1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בסיון התשנ"א (21 במאי 1991), בעמ' 232 ובהצעות חוק 2060, מיום י"ב בתמוז התשנ"א (24 ביוני 1991), בעמ' 248.</w:t>
                  </w:r>
                </w:p>
                <w:p w:rsidR="00932EF8" w:rsidRPr="00932EF8" w:rsidRDefault="00932EF8">
                  <w:pPr>
                    <w:pStyle w:val="OCRStyle1"/>
                    <w:ind w:left="202"/>
                  </w:pPr>
                  <w:r>
                    <w:rPr>
                      <w:rtl/>
                    </w:rPr>
                    <w:t>1 ס"ח התשל"ז, עמ' 226: התשנ"א, עמ' 208.</w:t>
                  </w:r>
                </w:p>
              </w:txbxContent>
            </v:textbox>
            <w10:wrap anchorx="page" anchory="page"/>
          </v:shape>
        </w:pict>
      </w:r>
      <w:r>
        <w:pict>
          <v:shape id="_x0000_s51903" o:spid="_x0000_s1027" type="#_x0000_t202" style="position:absolute;left:0;text-align:left;margin-left:94.3pt;margin-top:573.05pt;width:64.55pt;height:35.25pt;z-index:6;mso-position-horizontal-relative:page;mso-position-vertical-relative:page" stroked="f">
            <v:textbox style="mso-next-textbox:#_x0000_s51903" inset="0,0,0,0">
              <w:txbxContent>
                <w:p w:rsidR="00932EF8" w:rsidRDefault="00932EF8">
                  <w:pPr>
                    <w:pStyle w:val="OCRStyle1"/>
                    <w:ind w:left="58"/>
                    <w:rPr>
                      <w:rtl/>
                    </w:rPr>
                  </w:pPr>
                  <w:r>
                    <w:rPr>
                      <w:rtl/>
                    </w:rPr>
                    <w:t>דן מרידור</w:t>
                  </w:r>
                </w:p>
                <w:p w:rsidR="00932EF8" w:rsidRDefault="00932EF8">
                  <w:pPr>
                    <w:pStyle w:val="OCRStyle1"/>
                    <w:ind w:left="14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1904" o:spid="_x0000_s1028" type="#_x0000_t202" style="position:absolute;left:0;text-align:left;margin-left:181.25pt;margin-top:598pt;width:83.55pt;height:40.4pt;z-index:5;mso-position-horizontal-relative:page;mso-position-vertical-relative:page" stroked="f">
            <v:textbox style="mso-next-textbox:#_x0000_s51904" inset="0,0,0,0">
              <w:txbxContent>
                <w:p w:rsidR="00932EF8" w:rsidRDefault="00932EF8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932EF8" w:rsidRDefault="00932EF8">
                  <w:pPr>
                    <w:pStyle w:val="OCRStyle1"/>
                    <w:ind w:left="104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1905" o:spid="_x0000_s1029" type="#_x0000_t202" style="position:absolute;left:0;text-align:left;margin-left:280.25pt;margin-top:575.65pt;width:76.65pt;height:32.65pt;z-index:4;mso-position-horizontal-relative:page;mso-position-vertical-relative:page" stroked="f">
            <v:textbox style="mso-next-textbox:#_x0000_s51905" inset="0,0,0,0">
              <w:txbxContent>
                <w:p w:rsidR="00932EF8" w:rsidRDefault="00932EF8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932EF8" w:rsidRDefault="00932EF8">
                  <w:pPr>
                    <w:pStyle w:val="OCRStyle1"/>
                    <w:ind w:left="13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906" o:spid="_x0000_s1030" type="#_x0000_t202" style="position:absolute;left:0;text-align:left;margin-left:368.95pt;margin-top:602.2pt;width:79.2pt;height:38pt;z-index:3;mso-position-horizontal-relative:page;mso-position-vertical-relative:page" stroked="f">
            <v:textbox style="mso-next-textbox:#_x0000_s51906" inset="0,0,0,0">
              <w:txbxContent>
                <w:p w:rsidR="00932EF8" w:rsidRDefault="00932EF8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932EF8" w:rsidRDefault="00932EF8">
                  <w:pPr>
                    <w:pStyle w:val="OCRStyle1"/>
                    <w:ind w:left="17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907" o:spid="_x0000_s1031" type="#_x0000_t202" style="position:absolute;left:0;text-align:left;margin-left:77.1pt;margin-top:105.6pt;width:468.25pt;height:463.9pt;z-index:2;mso-position-horizontal-relative:page;mso-position-vertical-relative:page" stroked="f">
            <v:textbox style="mso-next-textbox:#_x0000_s51907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20"/>
                    <w:gridCol w:w="1320"/>
                    <w:gridCol w:w="1475"/>
                  </w:tblGrid>
                  <w:tr w:rsidR="00932EF8" w:rsidRPr="00932EF8">
                    <w:trPr>
                      <w:jc w:val="right"/>
                    </w:trPr>
                    <w:tc>
                      <w:tcPr>
                        <w:tcW w:w="4134" w:type="pct"/>
                        <w:gridSpan w:val="2"/>
                      </w:tcPr>
                      <w:p w:rsidR="00932EF8" w:rsidRPr="00932EF8" w:rsidRDefault="00932E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במקום סעיף 22 לחוק העונשין, התשל"ז-1977 1(להלן - החוק העיקרי), יבוא:</w:t>
                        </w:r>
                      </w:p>
                    </w:tc>
                    <w:tc>
                      <w:tcPr>
                        <w:tcW w:w="866" w:type="pct"/>
                      </w:tcPr>
                      <w:p w:rsidR="00932EF8" w:rsidRPr="00932EF8" w:rsidRDefault="00932E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סעי" 22</w:t>
                        </w:r>
                      </w:p>
                    </w:tc>
                  </w:tr>
                  <w:tr w:rsidR="00932EF8">
                    <w:trPr>
                      <w:jc w:val="right"/>
                    </w:trPr>
                    <w:tc>
                      <w:tcPr>
                        <w:tcW w:w="3359" w:type="pct"/>
                      </w:tcPr>
                      <w:p w:rsidR="00932EF8" w:rsidRDefault="00932E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אין אדם נושא באחריות פלילית למעשה או למחדל אם נהג כפי שנהג</w:t>
                        </w:r>
                      </w:p>
                      <w:p w:rsidR="00932EF8" w:rsidRDefault="00932E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כלפי תוקף כדי להדוף תקיפה שלא כדין, שהעמידה בסכנת פגיעה את חייו,</w:t>
                        </w:r>
                      </w:p>
                      <w:p w:rsidR="00932EF8" w:rsidRDefault="00932E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חירותו, גופו או רכושו, שלו או של זולתו; ואוחם אין אדם נוהג תוך הגנה</w:t>
                        </w:r>
                      </w:p>
                      <w:p w:rsidR="00932EF8" w:rsidRDefault="00932E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עצמית אם גרם לתקיפה האמורה בהתנהגותו הפסולה ותוך שהוא צופה מראש</w:t>
                        </w:r>
                      </w:p>
                      <w:p w:rsidR="00932EF8" w:rsidRPr="00932EF8" w:rsidRDefault="00932E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אפשרות התפתחות הדברים."</w:t>
                        </w:r>
                      </w:p>
                    </w:tc>
                    <w:tc>
                      <w:tcPr>
                        <w:tcW w:w="775" w:type="pct"/>
                      </w:tcPr>
                      <w:p w:rsidR="00932EF8" w:rsidRPr="00932EF8" w:rsidRDefault="00932E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</w:t>
                        </w:r>
                        <w:r>
                          <w:rPr>
                            <w:rtl/>
                          </w:rPr>
                          <w:tab/>
                          <w:t>הגנה עצמית</w:t>
                        </w:r>
                      </w:p>
                    </w:tc>
                    <w:tc>
                      <w:tcPr>
                        <w:tcW w:w="866" w:type="pct"/>
                      </w:tcPr>
                      <w:p w:rsidR="00932EF8" w:rsidRDefault="00932EF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932EF8" w:rsidRPr="00932EF8">
                    <w:trPr>
                      <w:jc w:val="right"/>
                    </w:trPr>
                    <w:tc>
                      <w:tcPr>
                        <w:tcW w:w="4134" w:type="pct"/>
                        <w:gridSpan w:val="2"/>
                      </w:tcPr>
                      <w:p w:rsidR="00932EF8" w:rsidRPr="00932EF8" w:rsidRDefault="00932E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אחרי סעיף 22 לחוק העיקרי יבוא:</w:t>
                        </w:r>
                      </w:p>
                    </w:tc>
                    <w:tc>
                      <w:tcPr>
                        <w:tcW w:w="866" w:type="pct"/>
                        <w:vMerge w:val="restart"/>
                      </w:tcPr>
                      <w:p w:rsidR="00932EF8" w:rsidRDefault="00932E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932EF8" w:rsidRPr="00932EF8" w:rsidRDefault="00932E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22א עד 22ג</w:t>
                        </w:r>
                      </w:p>
                    </w:tc>
                  </w:tr>
                  <w:tr w:rsidR="00932EF8">
                    <w:trPr>
                      <w:jc w:val="right"/>
                    </w:trPr>
                    <w:tc>
                      <w:tcPr>
                        <w:tcW w:w="3359" w:type="pct"/>
                      </w:tcPr>
                      <w:p w:rsidR="00932EF8" w:rsidRDefault="00932E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22א. (א) אין אדם נושא באחריות פלילית למעשה או למחדל שהיו דרושים</w:t>
                        </w:r>
                      </w:p>
                      <w:p w:rsidR="00932EF8" w:rsidRDefault="00932E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באופן מיידי כדי למנוע סכנה של פגיעה חמורה בחייו, בחירותו, בגופו, או</w:t>
                        </w:r>
                      </w:p>
                      <w:p w:rsidR="00932EF8" w:rsidRDefault="00932E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ברכושו, שלו או של זולתו, הנובעת ממצב דברים נתון, ובלבד שלא היתה לו</w:t>
                        </w:r>
                      </w:p>
                      <w:p w:rsidR="00932EF8" w:rsidRDefault="00932E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דרך אחרת למנעה, והפגיעה שגרם לא היתה בלתי שקולה כנגד הפגיעה שבקש</w:t>
                        </w:r>
                      </w:p>
                      <w:p w:rsidR="00932EF8" w:rsidRDefault="00932E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למנוע.</w:t>
                        </w:r>
                      </w:p>
                      <w:p w:rsidR="00932EF8" w:rsidRDefault="00932E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(1) הוראת סעיף קטן (א) לא תחול אם לפני היווצרות המצב שבו</w:t>
                        </w:r>
                      </w:p>
                      <w:p w:rsidR="00932EF8" w:rsidRDefault="00932E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נהג אדם כאמור, הוא העמיד עצמו ברציה ובהתנהגות פסולה באותו</w:t>
                        </w:r>
                      </w:p>
                      <w:p w:rsidR="00932EF8" w:rsidRDefault="00932E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מצב, ואין נפקא מינה אם אותו אדם היה מודע, או אם אדם סביר</w:t>
                        </w:r>
                      </w:p>
                      <w:p w:rsidR="00932EF8" w:rsidRDefault="00932E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במקומו יכול היה בנסיבות הענין להיות מודע, כי הוא עלול לנהוג</w:t>
                        </w:r>
                      </w:p>
                      <w:p w:rsidR="00932EF8" w:rsidRDefault="00932E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כפי שנהג;</w:t>
                        </w:r>
                      </w:p>
                      <w:p w:rsidR="00932EF8" w:rsidRDefault="00932E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הוראות פסקה (1) לא יחולו אם ענינה של ההתנהגות היה</w:t>
                        </w:r>
                      </w:p>
                      <w:p w:rsidR="00932EF8" w:rsidRDefault="00932E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הגנה על אינטרס של הזולת.</w:t>
                        </w:r>
                      </w:p>
                      <w:p w:rsidR="00932EF8" w:rsidRPr="00932EF8" w:rsidRDefault="00932E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הוראת סעיף קטן (א) לא תחול אם גרם המעשה למותו של אדם.</w:t>
                        </w:r>
                      </w:p>
                    </w:tc>
                    <w:tc>
                      <w:tcPr>
                        <w:tcW w:w="775" w:type="pct"/>
                      </w:tcPr>
                      <w:p w:rsidR="00932EF8" w:rsidRPr="00932EF8" w:rsidRDefault="00932E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''צורך</w:t>
                        </w:r>
                      </w:p>
                    </w:tc>
                    <w:tc>
                      <w:tcPr>
                        <w:tcW w:w="866" w:type="pct"/>
                        <w:vMerge/>
                      </w:tcPr>
                      <w:p w:rsidR="00932EF8" w:rsidRDefault="00932EF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932EF8">
                    <w:trPr>
                      <w:jc w:val="right"/>
                    </w:trPr>
                    <w:tc>
                      <w:tcPr>
                        <w:tcW w:w="3359" w:type="pct"/>
                      </w:tcPr>
                      <w:p w:rsidR="00932EF8" w:rsidRDefault="00932E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22ב. הוראות סעיפים 22 ו-22א לא יחולו אם בנסיבות הענין, המעשה או</w:t>
                        </w:r>
                      </w:p>
                      <w:p w:rsidR="00932EF8" w:rsidRDefault="00932E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המחדל לא היו סבירים לשם מניעת הפגיעה.</w:t>
                        </w:r>
                      </w:p>
                    </w:tc>
                    <w:tc>
                      <w:tcPr>
                        <w:tcW w:w="775" w:type="pct"/>
                      </w:tcPr>
                      <w:p w:rsidR="00932EF8" w:rsidRPr="00932EF8" w:rsidRDefault="00932E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חריגה מן הסביר</w:t>
                        </w:r>
                      </w:p>
                    </w:tc>
                    <w:tc>
                      <w:tcPr>
                        <w:tcW w:w="866" w:type="pct"/>
                      </w:tcPr>
                      <w:p w:rsidR="00932EF8" w:rsidRDefault="00932EF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932EF8">
                    <w:trPr>
                      <w:jc w:val="right"/>
                    </w:trPr>
                    <w:tc>
                      <w:tcPr>
                        <w:tcW w:w="3359" w:type="pct"/>
                      </w:tcPr>
                      <w:p w:rsidR="00932EF8" w:rsidRDefault="00932E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22ג. עבר אדם עבירה שדינה עונש חובה, רשאי בית המשפט להטיל עליו</w:t>
                        </w:r>
                      </w:p>
                      <w:p w:rsidR="00932EF8" w:rsidRDefault="00932E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 קל ממנו בכל אחת מאלה:</w:t>
                        </w:r>
                      </w:p>
                      <w:p w:rsidR="00932EF8" w:rsidRDefault="00932E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נהג כפי שנהג בתנאים האמורים בסעיף 22, אולם חרג מן</w:t>
                        </w:r>
                      </w:p>
                      <w:p w:rsidR="00932EF8" w:rsidRDefault="00932E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הסביר בנסיבות הענין לשם מניעת הפגיעה;</w:t>
                        </w:r>
                      </w:p>
                      <w:p w:rsidR="00932EF8" w:rsidRDefault="00932E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נהג כפי שנהג בתנאים האמורים בסעיף 22א, אולם</w:t>
                        </w:r>
                      </w:p>
                      <w:p w:rsidR="00932EF8" w:rsidRDefault="00932E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הפגיעה שגרם היתה בלתי שקולה כנגד הפגיעה שביקש למנוע, או</w:t>
                        </w:r>
                      </w:p>
                      <w:p w:rsidR="00932EF8" w:rsidRDefault="00932E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חרג מן הספיר בנסיבות הענין לשם מניעת הפגיעה."</w:t>
                        </w:r>
                      </w:p>
                    </w:tc>
                    <w:tc>
                      <w:tcPr>
                        <w:tcW w:w="775" w:type="pct"/>
                      </w:tcPr>
                      <w:p w:rsidR="00932EF8" w:rsidRPr="00932EF8" w:rsidRDefault="00932E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 מופחת</w:t>
                        </w:r>
                      </w:p>
                    </w:tc>
                    <w:tc>
                      <w:tcPr>
                        <w:tcW w:w="866" w:type="pct"/>
                      </w:tcPr>
                      <w:p w:rsidR="00932EF8" w:rsidRDefault="00932EF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932EF8" w:rsidRDefault="00932EF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1908" o:spid="_x0000_s1032" type="#_x0000_t202" style="position:absolute;left:0;text-align:left;margin-left:143.4pt;margin-top:71.15pt;width:248.7pt;height:28.3pt;z-index:1;mso-position-horizontal-relative:page;mso-position-vertical-relative:page" stroked="f">
            <v:textbox style="mso-next-textbox:#_x0000_s51908" inset="0,0,0,0">
              <w:txbxContent>
                <w:p w:rsidR="00932EF8" w:rsidRPr="00932EF8" w:rsidRDefault="00932EF8">
                  <w:pPr>
                    <w:pStyle w:val="OCRStyle1"/>
                    <w:ind w:left="14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העונשין (תיקון מס' 37), התשנ"ב-1992*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932EF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32EF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5129C4C-CC59-4DFD-B006-EFA97B0F6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32EF8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2008-04-07T13:02:00Z</dcterms:created>
  <dcterms:modified xsi:type="dcterms:W3CDTF">2008-04-07T13:02:00Z</dcterms:modified>
</cp:coreProperties>
</file>