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BFF" w:rsidRDefault="00367BFF">
      <w:pPr>
        <w:rPr>
          <w:rtl/>
        </w:rPr>
      </w:pPr>
    </w:p>
    <w:p w:rsidR="00367B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917" inset="0,0,0,0">
              <w:txbxContent>
                <w:p w:rsidR="00717DCE" w:rsidRDefault="00717DCE">
                  <w:r>
                    <w:rPr>
                      <w:rtl/>
                    </w:rPr>
                    <w:t>176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8" o:spid="_x0000_s1026" type="#_x0000_t202" style="position:absolute;left:0;text-align:left;margin-left:81.9pt;margin-top:658.4pt;width:384.7pt;height:94.65pt;z-index:3;mso-position-horizontal-relative:page;mso-position-vertical-relative:page" stroked="f">
            <v:textbox style="mso-next-textbox:#_x0000_s51918" inset="0,0,0,0">
              <w:txbxContent>
                <w:p w:rsidR="00717DCE" w:rsidRDefault="00717DC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התשנ"א (18 ביוני 1991)1 הצעת החוק ודברי הסבר פורסמו בהצעות חוק 2050, מיום ח'</w:t>
                  </w:r>
                </w:p>
                <w:p w:rsidR="00717DCE" w:rsidRDefault="00717DC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(22 באפריל 1991), עמ' 194.</w:t>
                  </w:r>
                </w:p>
                <w:p w:rsidR="00717DCE" w:rsidRDefault="00717DC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226: התשנ"א, עמ' 104.</w:t>
                  </w:r>
                </w:p>
                <w:p w:rsidR="00717DCE" w:rsidRPr="00367BFF" w:rsidRDefault="00717DC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2 ס"ח התש"ט, עמ' 1143 התשנ"א,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9" o:spid="_x0000_s1027" type="#_x0000_t202" style="position:absolute;left:0;text-align:left;margin-left:84.45pt;margin-top:90.95pt;width:463.9pt;height:561.35pt;z-index:2;mso-position-horizontal-relative:page;mso-position-vertical-relative:page" stroked="f">
            <v:textbox style="mso-next-textbox:#_x0000_s519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8"/>
                    <w:gridCol w:w="958"/>
                    <w:gridCol w:w="1498"/>
                  </w:tblGrid>
                  <w:tr w:rsidR="00717DCE" w:rsidRPr="00367BFF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העונשין, התשל"ז-1977 1 (להלן - החוק העיקרי), במקום סעיף 36 יבוא: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717DCE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נקבע בחוק מאסר בלבד או נקבע מאסר או קנס לחלופין, רשאי בית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 מאסר או קנס או שניהם כאחד; אולם מקום שנקבע בחוק מאסר</w:t>
                        </w:r>
                      </w:p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לא יטיל בית המשפט קנס בלבד."</w:t>
                        </w:r>
                      </w:p>
                    </w:tc>
                    <w:tc>
                      <w:tcPr>
                        <w:tcW w:w="568" w:type="pct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וקנס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7DCE" w:rsidRPr="00367BFF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62 לחוק העיקרי - בטל.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62</w:t>
                        </w:r>
                      </w:p>
                    </w:tc>
                  </w:tr>
                  <w:tr w:rsidR="00717DCE" w:rsidRPr="00367BFF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144 לחוק העיקרי -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"עבירות בנשק";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הרישה יבוא "הרוכש או המחזיק נשק בלא רשות על פי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להחזקתו";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"ואין בידו להוכיח רשות" יבוא "בלא רשות";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סעיפים קטנים (א) ו-(ב) לא יחולו על מי שעבר את העבירות בשל כך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שלא שילם את האגרה לחידוש רשיונו או שלא חודשה תעודת הרשאתו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שלא היתה מניעה לחידושה, הכל בהתאם לחוק כלי היריה, התש"ט-1949 2,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על פיו.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המייצר, מייבא או מייצא נשק או הסוחר בו או עושה בו כל עסקה אחרת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עמה מסירת החזקה בנשק לזולתו בין בתמורה ובין שלא בתמורה, בלא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על פי דין לעשות פעולה כאמור, דינו - מאסר חמש עשרה שנים.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(ב3) הרשאי על פי דין למכור או למסור נשק והוא מוכרו או מוסרו לאדם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רשאי על פי דין להחזיק בו, דינו - מאסר חמש עשרה שנים; סבר המוכר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המוסר, כתוצאה מבדיקה רשלנית, שהוא מוכר או מוסר נשק למי שרשאי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להחזיק בו - דינו מאסר שלוש שנים."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(ג)(2), בסופו יבוא "ולמעט מכל גז מדמיע כהגדרתו בחוק כלי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היריה, התש"ט-1949";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קטן (ג1) יבוא: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לענין סעיף זה -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אחת היא אם בעת שנעברה העבירה היה הנשק תקין לשימוש או</w:t>
                        </w:r>
                      </w:p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לא;</w:t>
                        </w:r>
                      </w:p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הטוען לרשות על פי דין - עליו הראיה."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144</w:t>
                        </w:r>
                      </w:p>
                    </w:tc>
                  </w:tr>
                  <w:tr w:rsidR="00717DCE" w:rsidRPr="00367BFF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717DCE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184 לחוק העיקרי, במקום הגדרות "פגיון" ו"סכין" יבוא:</w:t>
                        </w:r>
                      </w:p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"סכין" - כלי בעל להב או כלי אחר שסוגל לדקור או לחתוך;</w:t>
                        </w:r>
                      </w:p>
                    </w:tc>
                    <w:tc>
                      <w:tcPr>
                        <w:tcW w:w="888" w:type="pct"/>
                      </w:tcPr>
                      <w:p w:rsidR="00717DCE" w:rsidRPr="00367BFF" w:rsidRDefault="0071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184</w:t>
                        </w:r>
                      </w:p>
                    </w:tc>
                  </w:tr>
                </w:tbl>
                <w:p w:rsidR="00717DCE" w:rsidRDefault="00717D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20" o:spid="_x0000_s1028" type="#_x0000_t202" style="position:absolute;left:0;text-align:left;margin-left:150.6pt;margin-top:69.55pt;width:250.65pt;height:20.6pt;z-index:1;mso-position-horizontal-relative:page;mso-position-vertical-relative:page" stroked="f">
            <v:textbox style="mso-next-textbox:#_x0000_s51920" inset="0,0,0,0">
              <w:txbxContent>
                <w:p w:rsidR="00717DCE" w:rsidRPr="00367BFF" w:rsidRDefault="00717DCE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33), התשנ"א-1991*</w:t>
                  </w:r>
                </w:p>
              </w:txbxContent>
            </v:textbox>
            <w10:wrap anchorx="page" anchory="page"/>
          </v:shape>
        </w:pict>
      </w:r>
    </w:p>
    <w:p w:rsidR="001D277F" w:rsidRDefault="001D277F">
      <w:pPr>
        <w:rPr>
          <w:rtl/>
        </w:rPr>
      </w:pPr>
      <w:r>
        <w:rPr>
          <w:rtl/>
        </w:rPr>
        <w:br w:type="page"/>
      </w:r>
    </w:p>
    <w:p w:rsidR="001D277F" w:rsidRDefault="00000000">
      <w:pPr>
        <w:rPr>
          <w:rtl/>
        </w:rPr>
      </w:pPr>
      <w:r>
        <w:pict>
          <v:shape id="_x0000_s519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921" inset="0,0,0,0">
              <w:txbxContent>
                <w:p w:rsidR="00717DCE" w:rsidRDefault="00717DCE">
                  <w:r>
                    <w:rPr>
                      <w:rtl/>
                    </w:rPr>
                    <w:t>177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2" o:spid="_x0000_s1030" type="#_x0000_t202" style="position:absolute;left:0;text-align:left;margin-left:358.4pt;margin-top:698.05pt;width:204.95pt;height:57.8pt;z-index:6;mso-position-horizontal-relative:page;mso-position-vertical-relative:page" stroked="f">
            <v:textbox style="mso-next-textbox:#_x0000_s51922" inset="0,0,0,0">
              <w:txbxContent>
                <w:p w:rsidR="00717DCE" w:rsidRPr="001D277F" w:rsidRDefault="00717DCE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3 דיני מדינת ישראל, נוסח חדש 17, עמ' 390.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3" o:spid="_x0000_s1031" type="#_x0000_t202" style="position:absolute;left:0;text-align:left;margin-left:101pt;margin-top:79.1pt;width:454.6pt;height:617.35pt;z-index:5;mso-position-horizontal-relative:page;mso-position-vertical-relative:page" stroked="f">
            <v:textbox style="mso-next-textbox:#_x0000_s5192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905"/>
                    <w:gridCol w:w="1111"/>
                  </w:tblGrid>
                  <w:tr w:rsidR="00717DC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"אולר" - סכין מתקפלת שאורך להבה אינו עולה על עשרה סנטימטרים ושלא ניתן להפכה,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בעזרת קפיץ או באמצעי אחר, לסכין שלהבה קבוע;".</w:t>
                        </w:r>
                      </w:p>
                    </w:tc>
                  </w:tr>
                  <w:tr w:rsidR="00717DCE" w:rsidRPr="001D277F">
                    <w:trPr>
                      <w:jc w:val="right"/>
                    </w:trPr>
                    <w:tc>
                      <w:tcPr>
                        <w:tcW w:w="756" w:type="pct"/>
                        <w:vMerge w:val="restar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 עד 188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סעיפים 185 עד 188 לחוק העיקרי יבוא:</w:t>
                        </w:r>
                      </w:p>
                    </w:tc>
                  </w:tr>
                  <w:tr w:rsidR="00717DCE" w:rsidRPr="001D277F">
                    <w:trPr>
                      <w:jc w:val="right"/>
                    </w:trPr>
                    <w:tc>
                      <w:tcPr>
                        <w:tcW w:w="756" w:type="pct"/>
                        <w:vMerge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2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הסוחר, מייצר או מייבא סכין שלא נועדה לשמש במקצוע, במלאכה,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בעסק, לצרכי בית או למטרה כשרה אחרת, דינו - מאסר שבע שנים.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"סחר, ייצור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ויבוא סכין</w:t>
                        </w:r>
                      </w:p>
                    </w:tc>
                  </w:tr>
                  <w:tr w:rsidR="00717DCE" w:rsidRPr="001D277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2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186. (א) המחזיק סכין מחוץ לתחום ביתו או חצריו ולא הוכיח כי החזיקה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כשרה, דינו - מאסר חמש שנים.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חזקה היא כי החזקת אולר הנה למטרה כשרה."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סכין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</w:t>
                        </w:r>
                      </w:p>
                    </w:tc>
                  </w:tr>
                  <w:tr w:rsidR="00717DCE" w:rsidRPr="001D277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כלי היריה, התש"ט-1949 -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"כלי יריה", בסופה יבוא "ולמעט מכל גז מדמיע":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"מטווח קליעה" יבוא: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""מכל גז מדמיע" - מכל המיועד להגנה עצמית, שמשקל תכולתו הוא כפי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בתוספת והוא מכיל או סוגל להכיל או לפלוט חומר שסוגו וריכוזו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בתוספת, ובלבד שמנגנון ההפעלה שלו אינו כולל תרכובות של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בערה או נפץ;"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6(ב), במקום "אם" יבוא "לאחר שנוכח כי";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11(2) -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(א), במקום הסיפה המתחילה במלה "מפקח" יבוא: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 בכיר, כהגדרתו בפקודת המשטרה [נוסח חדש], התשל"א-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 3, שהוסמך לכך בידי המפקח הכללי של המשטרה.";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(ב), במקום הסיפה המתחילה במלה "מפקח" יבוא: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 בכיר, כהגדרתו בפסקה (א), שהוסמך לכך בידי המפקח הכללי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המשטרה ואלוף פיקוד או נציגו.";</w:t>
                        </w:r>
                      </w:p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16 יבוא:</w:t>
                        </w:r>
                      </w:p>
                    </w:tc>
                  </w:tr>
                  <w:tr w:rsidR="00717DCE" w:rsidRPr="001D277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2" w:type="pct"/>
                      </w:tcPr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העושה אחת מאלה, דינו - מאסר ששה- חדשים: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עובר על הוראות סעיפים 4 או 5 בשל כך בלבד שלא שילם את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לחידוש רשיונו או שלא חודשה תעודת הרשאתו אף שלא היתה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לחידושה, הכל בהתאם לחוק זה או התקנות על פיו;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עובר על הוראה מהוראות חוק זה או על תנאי או הגבלה שנקבעו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או בתעודת הרשאה שניתנו לפי חוק זה, ועבירתו אינה עבירה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אחר.";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:5) בסעיף 21, אחרי סעיף קטן (ג) יבוא: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הפנים, לאחר התייעצות עם שר המשטרה ועם שר הבריאות, רשאי</w:t>
                        </w:r>
                      </w:p>
                      <w:p w:rsidR="00717DCE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התוספת."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717DCE" w:rsidRPr="001D277F" w:rsidRDefault="00717D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</w:tbl>
                <w:p w:rsidR="00717DCE" w:rsidRDefault="00717D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17DCE" w:rsidRDefault="00717DCE">
      <w:pPr>
        <w:rPr>
          <w:rtl/>
        </w:rPr>
      </w:pPr>
      <w:r>
        <w:rPr>
          <w:rtl/>
        </w:rPr>
        <w:br w:type="page"/>
      </w:r>
    </w:p>
    <w:p w:rsidR="00717DCE" w:rsidRDefault="00000000">
      <w:pPr>
        <w:rPr>
          <w:rtl/>
        </w:rPr>
      </w:pPr>
      <w:r>
        <w:pict>
          <v:shape id="_x0000_s5192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924" inset="0,0,0,0">
              <w:txbxContent>
                <w:p w:rsidR="00717DCE" w:rsidRDefault="00717DCE">
                  <w:r>
                    <w:rPr>
                      <w:rtl/>
                    </w:rPr>
                    <w:t>178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5" o:spid="_x0000_s1033" type="#_x0000_t202" style="position:absolute;left:0;text-align:left;margin-left:348.05pt;margin-top:443.4pt;width:127.5pt;height:37.8pt;z-index:13;mso-position-horizontal-relative:page;mso-position-vertical-relative:page" stroked="f">
            <v:textbox style="mso-next-textbox:#_x0000_s51925" inset="0,0,0,0">
              <w:txbxContent>
                <w:p w:rsidR="00717DCE" w:rsidRDefault="00717DCE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4 ס"ח התשמ"ד, עמ' 195.</w:t>
                  </w:r>
                </w:p>
                <w:p w:rsidR="00717DCE" w:rsidRPr="00717DCE" w:rsidRDefault="00717DCE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5 ס"ח התשכ''ט,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6" o:spid="_x0000_s1034" type="#_x0000_t202" style="position:absolute;left:0;text-align:left;margin-left:89.9pt;margin-top:374.5pt;width:73.05pt;height:34.45pt;z-index:12;mso-position-horizontal-relative:page;mso-position-vertical-relative:page" stroked="f">
            <v:textbox style="mso-next-textbox:#_x0000_s51926" inset="0,0,0,0">
              <w:txbxContent>
                <w:p w:rsidR="00717DCE" w:rsidRDefault="00717DCE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717DCE" w:rsidRDefault="00717DCE">
                  <w:pPr>
                    <w:pStyle w:val="OCRStyle3"/>
                    <w:ind w:left="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7" o:spid="_x0000_s1035" type="#_x0000_t202" style="position:absolute;left:0;text-align:left;margin-left:173.25pt;margin-top:397.7pt;width:92.25pt;height:36.25pt;z-index:11;mso-position-horizontal-relative:page;mso-position-vertical-relative:page" stroked="f">
            <v:textbox style="mso-next-textbox:#_x0000_s51927" inset="0,0,0,0">
              <w:txbxContent>
                <w:p w:rsidR="00717DCE" w:rsidRDefault="00717DCE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17DCE" w:rsidRDefault="00717DCE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8" o:spid="_x0000_s1036" type="#_x0000_t202" style="position:absolute;left:0;text-align:left;margin-left:274pt;margin-top:374.5pt;width:93.85pt;height:32.65pt;z-index:10;mso-position-horizontal-relative:page;mso-position-vertical-relative:page" stroked="f">
            <v:textbox style="mso-next-textbox:#_x0000_s51928" inset="0,0,0,0">
              <w:txbxContent>
                <w:p w:rsidR="00717DCE" w:rsidRDefault="00717DCE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17DCE" w:rsidRDefault="00717DCE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9" o:spid="_x0000_s1037" type="#_x0000_t202" style="position:absolute;left:0;text-align:left;margin-left:375.6pt;margin-top:402.85pt;width:85.35pt;height:32.85pt;z-index:9;mso-position-horizontal-relative:page;mso-position-vertical-relative:page" stroked="f">
            <v:textbox style="mso-next-textbox:#_x0000_s51929" inset="0,0,0,0">
              <w:txbxContent>
                <w:p w:rsidR="00717DCE" w:rsidRDefault="00717DCE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17DCE" w:rsidRDefault="00717DCE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0" o:spid="_x0000_s1038" type="#_x0000_t202" style="position:absolute;left:0;text-align:left;margin-left:82.95pt;margin-top:61.1pt;width:458.75pt;height:303.15pt;z-index:8;mso-position-horizontal-relative:page;mso-position-vertical-relative:page" stroked="f">
            <v:textbox style="mso-next-textbox:#_x0000_s519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1"/>
                    <w:gridCol w:w="1523"/>
                    <w:gridCol w:w="3622"/>
                    <w:gridCol w:w="1455"/>
                  </w:tblGrid>
                  <w:tr w:rsidR="00717DCE">
                    <w:trPr>
                      <w:jc w:val="right"/>
                    </w:trPr>
                    <w:tc>
                      <w:tcPr>
                        <w:tcW w:w="1044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  <w:gridSpan w:val="2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25 יבוא: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17DCE">
                    <w:trPr>
                      <w:jc w:val="right"/>
                    </w:trPr>
                    <w:tc>
                      <w:tcPr>
                        <w:tcW w:w="1044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4" w:type="pct"/>
                        <w:gridSpan w:val="2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17DCE">
                    <w:trPr>
                      <w:jc w:val="right"/>
                    </w:trPr>
                    <w:tc>
                      <w:tcPr>
                        <w:tcW w:w="1044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המשקל הנקי המרבי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תכולת המכל</w:t>
                        </w:r>
                      </w:p>
                    </w:tc>
                    <w:tc>
                      <w:tcPr>
                        <w:tcW w:w="913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החומר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 במכל</w:t>
                        </w:r>
                      </w:p>
                    </w:tc>
                    <w:tc>
                      <w:tcPr>
                        <w:tcW w:w="2171" w:type="pct"/>
                      </w:tcPr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החומר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17DCE">
                    <w:trPr>
                      <w:jc w:val="right"/>
                    </w:trPr>
                    <w:tc>
                      <w:tcPr>
                        <w:tcW w:w="1044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גרם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גרם"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2%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2%</w:t>
                        </w:r>
                      </w:p>
                    </w:tc>
                    <w:tc>
                      <w:tcPr>
                        <w:tcW w:w="2171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1.(</w:t>
                        </w:r>
                        <w:r>
                          <w:t>CS" )ortho-chlorobenzal-malononitrilc</w:t>
                        </w:r>
                        <w:r>
                          <w:rPr>
                            <w:rtl/>
                          </w:rPr>
                          <w:t>"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2.  </w:t>
                        </w:r>
                        <w:r>
                          <w:t>Capsaicin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17DCE" w:rsidRPr="00717DCE">
                    <w:trPr>
                      <w:jc w:val="right"/>
                    </w:trPr>
                    <w:tc>
                      <w:tcPr>
                        <w:tcW w:w="4128" w:type="pct"/>
                        <w:gridSpan w:val="3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בתי המשפט [נוסח משולב], התשמ"ד-41984, בתוספת השניה, אחרי "176" יבוא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"185, 186".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</w:tr>
                  <w:tr w:rsidR="00717DCE" w:rsidRPr="00717DCE">
                    <w:trPr>
                      <w:jc w:val="right"/>
                    </w:trPr>
                    <w:tc>
                      <w:tcPr>
                        <w:tcW w:w="4128" w:type="pct"/>
                        <w:gridSpan w:val="3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סמכויות חיפוש בשעת-חירום (הוראת שעה), התשכ"ט-1969 5-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בסופו יבוא: ,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"סכין" - כהגדרתו בסעיף 184 לחוק העונשין, התשל"ז-1977;";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 -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במקום "כלי יריה" יבוא "סכין", כלי יריה";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(5), במקום "שכלי יריה" יבוא "שסכין, כלי יריה".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חיפוש</w:t>
                        </w:r>
                      </w:p>
                      <w:p w:rsid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בשעת-חירום</w:t>
                        </w:r>
                      </w:p>
                      <w:p w:rsidR="00717DCE" w:rsidRPr="00717DCE" w:rsidRDefault="00717D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</w:tbl>
                <w:p w:rsidR="00717DCE" w:rsidRDefault="00717DC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7B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A38C33-F7A8-40D5-9C4D-19809BE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7BF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27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17D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2008-04-07T12:48:00Z</dcterms:created>
  <dcterms:modified xsi:type="dcterms:W3CDTF">2008-04-07T12:49:00Z</dcterms:modified>
</cp:coreProperties>
</file>