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04D4" w:rsidRDefault="008A04D4">
      <w:pPr>
        <w:rPr>
          <w:rtl/>
        </w:rPr>
      </w:pPr>
    </w:p>
    <w:p w:rsidR="008A04D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5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525" inset="0,0,0,0">
              <w:txbxContent>
                <w:p w:rsidR="009E2574" w:rsidRDefault="009E2574">
                  <w:r>
                    <w:rPr>
                      <w:rtl/>
                    </w:rPr>
                    <w:t>164                                         ספר החוקים 1359                  ל' בסיוון התשנ"א 12.06.1991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26" o:spid="_x0000_s1026" type="#_x0000_t202" style="position:absolute;left:0;text-align:left;margin-left:79pt;margin-top:650.8pt;width:402.15pt;height:105.95pt;z-index:3;mso-position-horizontal-relative:page;mso-position-vertical-relative:page" stroked="f">
            <v:textbox style="mso-next-textbox:#_x0000_s52526" inset="0,0,0,0">
              <w:txbxContent>
                <w:p w:rsidR="009E2574" w:rsidRDefault="009E2574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בסיון התשנ"א (3 ביוני 1991); הצעת החוק ודברי הסבר פורסמו בהצעות חוק 2045, מיום כ"ו</w:t>
                  </w:r>
                </w:p>
                <w:p w:rsidR="009E2574" w:rsidRDefault="009E2574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באדר התשנ"א (12 במרס 1991), עמ' 175.</w:t>
                  </w:r>
                </w:p>
                <w:p w:rsidR="009E2574" w:rsidRDefault="009E2574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עמ' 1307 התשכ"ז, עמ' 10! התשכ"ט, עמ' 172 ועמ' 223: התשל"ג, עמ' 228: התשל''ו, עמ' 233, עמ' 253</w:t>
                  </w:r>
                </w:p>
                <w:p w:rsidR="009E2574" w:rsidRDefault="009E2574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ועמ' 1253 התשל"ח, עמ' 15 ועמ' 1180 התשל''ט, עמ' 114 התש"ם, עמ' 42: התשמ"א, עמ' 14, עמ' 46, עמ' 108, עמ' ,109</w:t>
                  </w:r>
                </w:p>
                <w:p w:rsidR="009E2574" w:rsidRDefault="009E2574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עמ' 111, עמ' 166 ועמ' 1184 התשמ"ב, עמ' 229: התשמ"ג, עמ' 25: התשמ"ד, עמ' 146: התשמ"ו, עמ' 129, עמ' 130 ועמ'</w:t>
                  </w:r>
                </w:p>
                <w:p w:rsidR="009E2574" w:rsidRPr="008A04D4" w:rsidRDefault="009E2574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150 ; התשמ"ח, עמ' 20 ועמ' 144: התשמ''ט, עמ' 7 ועמ' 56; התש"ן, עמ' 123 ועמ'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27" o:spid="_x0000_s1027" type="#_x0000_t202" style="position:absolute;left:0;text-align:left;margin-left:78.2pt;margin-top:111.05pt;width:472.65pt;height:538.15pt;z-index:2;mso-position-horizontal-relative:page;mso-position-vertical-relative:page" stroked="f">
            <v:textbox style="mso-next-textbox:#_x0000_s525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8"/>
                    <w:gridCol w:w="1256"/>
                    <w:gridCol w:w="1490"/>
                  </w:tblGrid>
                  <w:tr w:rsidR="009E2574" w:rsidRPr="008A04D4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76 לחוק התכנון והבניה, התשכ"ה-1965 1 (להלן - החוק העיקרי), יבוא: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 ה1</w:t>
                        </w:r>
                      </w:p>
                    </w:tc>
                  </w:tr>
                  <w:tr w:rsidR="009E2574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הי1: תכנית לשימור אתרים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E2574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76א. על תכנית לשימור אתרים יחולו הוראות התוספת הרביעית."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לשימור</w:t>
                        </w:r>
                      </w:p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אתרים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E2574" w:rsidRPr="008A04D4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בתוספת השלישית, בסעיף 13, בסופו, יבוא "ולרבות הוצאות שימור אתר או הפקעתו</w:t>
                        </w:r>
                      </w:p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התוספת הרביעית".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התוססת</w:t>
                        </w:r>
                      </w:p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</w:t>
                        </w:r>
                      </w:p>
                    </w:tc>
                  </w:tr>
                  <w:tr w:rsidR="009E2574" w:rsidRPr="008A04D4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התוספת השלישית לחוק העיקרי יבוא: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התוספת</w:t>
                        </w:r>
                      </w:p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הרביעית</w:t>
                        </w:r>
                      </w:p>
                    </w:tc>
                  </w:tr>
                  <w:tr w:rsidR="009E2574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רביעית</w:t>
                        </w:r>
                      </w:p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76א)</w:t>
                        </w:r>
                      </w:p>
                    </w:tc>
                    <w:tc>
                      <w:tcPr>
                        <w:tcW w:w="731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7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E2574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בתוספת זו, "אתר" - בנין או קבוצת בנינים או חלק מהם, לרבות סביבתם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הקרובה, שלדעת מוסד תכנון הם בעלי חשיבות היסטורית, לאומית, אדריכלית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ארכיאולוגית.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E2574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דין תכנית לשימור אתרים, כדין תכנית מיתאר מקומית (להלן -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לשימור).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תכנית לשימור יכול שתוכן על ידי הועדה המקומית ויכול שתוכן על</w:t>
                        </w:r>
                      </w:p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מעונינים בכפוף לסעיף 3.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לשימור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E2574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ועדה מקומית רשאית לקבל, בשינויים או ללא שינויים, תכנית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לשימור שהציע לה בעל קרקע או רשות מקומית שבתחומה מצוי אתר, או כל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ששר הפנים אישר לכך בדרך כלל או באופן מיוחד (בסעיף זה - תכנית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לשימור על ידי מעונינים).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המקומית תחליט בדבר קבלת תכנית לשימור על ידי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מעונינים תוך ששה חדשים מיום שהוצעה; לא החליטה הועדה בתוך אותו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מועד, רשאי המציע להגיש את התכנית לועדה המחוזית.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נפגע על ידי דחיית תכנית לשימור על ידי מעונינים או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הכנסת שינויים בה רשאי לערור לפני הועדה המחוזית תוך שלושים</w:t>
                        </w:r>
                      </w:p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שהודעה לו הדחיה.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לשימור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שהוצעה על ידי</w:t>
                        </w:r>
                      </w:p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מעונינים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E2574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הוגשה לועדה מקומית תכנית לשימור או החליטה הועדה כי תוכן תכנית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כזו, רשאית הועדה לקבוע הוראות בדבר איסורים והגבלות על פעולות, באתר</w:t>
                        </w:r>
                      </w:p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 או שייכלל בתכנית, העשויות לפגוע במטרת השימור, כל עוד נמצאת</w:t>
                        </w:r>
                      </w:p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בדיון במוסדות התכנון (להלן - אתר שיועד לשימור); הוראות סעיפים</w:t>
                        </w:r>
                      </w:p>
                    </w:tc>
                    <w:tc>
                      <w:tcPr>
                        <w:tcW w:w="731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בשלב</w:t>
                        </w:r>
                      </w:p>
                      <w:p w:rsidR="009E2574" w:rsidRPr="008A04D4" w:rsidRDefault="009E25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E2574" w:rsidRDefault="009E25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E2574" w:rsidRDefault="009E25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528" o:spid="_x0000_s1028" type="#_x0000_t202" style="position:absolute;left:0;text-align:left;margin-left:121.15pt;margin-top:77.6pt;width:327.1pt;height:30.9pt;z-index:1;mso-position-horizontal-relative:page;mso-position-vertical-relative:page" stroked="f">
            <v:textbox style="mso-next-textbox:#_x0000_s52528" inset="0,0,0,0">
              <w:txbxContent>
                <w:p w:rsidR="009E2574" w:rsidRDefault="009E2574">
                  <w:pPr>
                    <w:pStyle w:val="OCRStyle1"/>
                    <w:ind w:left="40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התכנון והבניה (תיקון מס' 31) (תכנית לשימור אתרים),</w:t>
                  </w:r>
                </w:p>
                <w:p w:rsidR="009E2574" w:rsidRPr="008A04D4" w:rsidRDefault="009E2574">
                  <w:pPr>
                    <w:pStyle w:val="OCRStyle1"/>
                    <w:ind w:left="238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התשנ"א-1991*</w:t>
                  </w:r>
                </w:p>
              </w:txbxContent>
            </v:textbox>
            <w10:wrap anchorx="page" anchory="page"/>
          </v:shape>
        </w:pict>
      </w:r>
    </w:p>
    <w:p w:rsidR="000F0B5A" w:rsidRDefault="000F0B5A">
      <w:pPr>
        <w:rPr>
          <w:rtl/>
        </w:rPr>
      </w:pPr>
      <w:r>
        <w:rPr>
          <w:rtl/>
        </w:rPr>
        <w:br w:type="page"/>
      </w:r>
    </w:p>
    <w:p w:rsidR="000F0B5A" w:rsidRDefault="00000000">
      <w:pPr>
        <w:rPr>
          <w:rtl/>
        </w:rPr>
      </w:pPr>
      <w:r>
        <w:pict>
          <v:shape id="_x0000_s5252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529" inset="0,0,0,0">
              <w:txbxContent>
                <w:p w:rsidR="009E2574" w:rsidRDefault="009E2574">
                  <w:r>
                    <w:rPr>
                      <w:rtl/>
                    </w:rPr>
                    <w:t>165                                         ספר החוקים 1359                  ל' בסיוון התשנ"א 12.06.1991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30" o:spid="_x0000_s1030" type="#_x0000_t202" style="position:absolute;left:0;text-align:left;margin-left:367.55pt;margin-top:702.95pt;width:196.2pt;height:45.75pt;z-index:6;mso-position-horizontal-relative:page;mso-position-vertical-relative:page" stroked="f">
            <v:textbox style="mso-next-textbox:#_x0000_s52530" inset="0,0,0,0">
              <w:txbxContent>
                <w:p w:rsidR="009E2574" w:rsidRPr="000F0B5A" w:rsidRDefault="009E2574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2 ע"ר 1938, תוס' 1,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31" o:spid="_x0000_s1031" type="#_x0000_t202" style="position:absolute;left:0;text-align:left;margin-left:157.45pt;margin-top:80.65pt;width:399.55pt;height:619.75pt;z-index:5;mso-position-horizontal-relative:page;mso-position-vertical-relative:page" stroked="f">
            <v:textbox style="mso-next-textbox:#_x0000_s52531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9"/>
                    <w:gridCol w:w="1296"/>
                  </w:tblGrid>
                  <w:tr w:rsidR="009E2574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77, 78 ו-79 לענין פרסום הודעה על החלטה להכין תכנית לשימור, איסורים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והגבלות בתקופת ההכנה ופטור מתשלומי חובה, יחולו, בשינויים המחוייבים,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החלטה לפי סעיף זה, ואולם האיסורים וההגבלות לא יוטלו למשך תקופת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העולה על שנה ממועד פרסום ההודעה; הועדה המקומית, באישור הועדה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המחוזית, רשאית להאריך את התקופה האמורה לתקופה נוספת שלא תעלה על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"תקופת הכנה" - מיום פרסום הודעה על החלטה להכין תכנית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לשימור עד הפקדתה או עד פקיעתם של האיסורים וההגבלות לפי סעיף זה.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E2574" w:rsidRPr="000F0B5A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החליטה ועדה מחוזית להפקיד תכנית לשימור, תמסור על כך הודעה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לבעלים ולמחזיקים בנכס הנמצא בתחום התכנית: הודעה כאמור תימסר או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תישלח בדואר רשום לפי מענם הידוע של הבעלים והמחזיקים.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9E2574" w:rsidRPr="000F0B5A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</w:t>
                        </w:r>
                      </w:p>
                    </w:tc>
                  </w:tr>
                  <w:tr w:rsidR="009E2574" w:rsidRPr="000F0B5A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בתכנית לשימור מותר לקבוע הוראות בדבר השימושים המותרים באתר,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תוספות בניה שניתן להוסיף לו, וכן לקבוע כללים בדבר היחס בין</w:t>
                        </w:r>
                      </w:p>
                      <w:p w:rsidR="009E2574" w:rsidRPr="000F0B5A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 לבין הוראות התכניות החלות על האתר.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על פי</w:t>
                        </w:r>
                      </w:p>
                      <w:p w:rsidR="009E2574" w:rsidRPr="000F0B5A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</w:t>
                        </w:r>
                      </w:p>
                    </w:tc>
                  </w:tr>
                  <w:tr w:rsidR="009E2574" w:rsidRPr="000F0B5A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בעל או מחזיק של אתר שיועד לשימור, הרוצה לעשות שינוי או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כאתר, רשאי לעשות כן רק בהתאם להוראות התכנית לשימור.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"שינוי" - כל פעולה הטעונה היתר לפי סעיף 145 לחוק,</w:t>
                        </w:r>
                      </w:p>
                      <w:p w:rsidR="009E2574" w:rsidRPr="000F0B5A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"שינוי פנימי" - אם נקבע כך במפורש בתכנית לשימור.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או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באתר</w:t>
                        </w:r>
                      </w:p>
                      <w:p w:rsidR="009E2574" w:rsidRPr="000F0B5A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שנועד לשימור</w:t>
                        </w:r>
                      </w:p>
                    </w:tc>
                  </w:tr>
                  <w:tr w:rsidR="009E2574" w:rsidRPr="000F0B5A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נתבעה ועדה מקומית לשלם פיצויים עבור נכס הכלול בתכנית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לשימור לפי סעיפים 197 ו-198, והועדה המקומית ראתה כי אין לה מקור כספי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תביעה כאמור, רשאית הועדה המקומית ביוזמתה או לבקשת הרשות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שבתחומה מצוי הנכס, בכל שלב משלבי בירור התביעה, וגם לאחר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סופי בה, ליזום תכנית לשינוי או לביטול התכנית לשימור.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שולמו פיצויים כאמור בסעיף קטן (א), והוחזר הנכס לייעוד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לו בתכנית שקדמה לתכנית לשימור, לא תחול חובת תשלום היטל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השבחה עקב השינוי או הביטול של התכנית לשימור, על מי שהיה בעל זכות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 בעת אישור התכנית לשימור ובעת ביטולה או שינויה של התכנית</w:t>
                        </w:r>
                      </w:p>
                      <w:p w:rsidR="009E2574" w:rsidRPr="000F0B5A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לשימור.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העדר מקור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 למימון</w:t>
                        </w:r>
                      </w:p>
                      <w:p w:rsidR="009E2574" w:rsidRPr="000F0B5A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</w:t>
                        </w:r>
                      </w:p>
                    </w:tc>
                  </w:tr>
                  <w:tr w:rsidR="009E2574" w:rsidRPr="000F0B5A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נפגעו מקרקעין שבתחום תכנית לשימור כאמור בסעיף 197, ולפי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200 לא שולמו לנפגע פיצויים, יחולו על מקרקעין אלה הוראות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 לפקודת מטי העיריה ומסי הממשלה (פטורין), 1938 2 (להלן - הפקודה),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לאמור בסעיפים קטנים (ב) ו-(ג); זכאי לפטור לפי הפקודה הוא מי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שנפגע כאמור וכל עוד הוא נפגע.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הנכס מהווה מקור הכנסה עקב שימוש מסחרי בו, רשאי מי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הפנים הסמיכו לכך, לקבוע, בהתחשב במידת הפגיעה בנכס ובמקור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ההכנסה, את שיעור הפטור ואת משך תחולתו.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ששר הפנים הסמיכו לכך רשאי, לבקשת הרשות המקומית</w:t>
                        </w:r>
                      </w:p>
                      <w:p w:rsidR="009E2574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הנוגעת בדבר, להפחית את שיעור.הפטור בהתחשב במידת הפגיעה בנכס</w:t>
                        </w:r>
                      </w:p>
                      <w:p w:rsidR="009E2574" w:rsidRPr="000F0B5A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ובמשך תקופת הפטור.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9E2574" w:rsidRPr="000F0B5A" w:rsidRDefault="009E25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</w:tc>
                  </w:tr>
                </w:tbl>
                <w:p w:rsidR="009E2574" w:rsidRDefault="009E257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05D3A" w:rsidRDefault="00C05D3A">
      <w:pPr>
        <w:rPr>
          <w:rtl/>
        </w:rPr>
      </w:pPr>
      <w:r>
        <w:rPr>
          <w:rtl/>
        </w:rPr>
        <w:br w:type="page"/>
      </w:r>
    </w:p>
    <w:p w:rsidR="00C05D3A" w:rsidRDefault="00000000">
      <w:pPr>
        <w:rPr>
          <w:rtl/>
        </w:rPr>
      </w:pPr>
      <w:r>
        <w:pict>
          <v:shape id="_x0000_s5253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2532" inset="0,0,0,0">
              <w:txbxContent>
                <w:p w:rsidR="009E2574" w:rsidRDefault="009E2574">
                  <w:r>
                    <w:rPr>
                      <w:rtl/>
                    </w:rPr>
                    <w:t>166                                         ספר החוקים 1359                  ל' בסיוון התשנ"א 12.06.1991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33" o:spid="_x0000_s1033" type="#_x0000_t202" style="position:absolute;left:0;text-align:left;margin-left:87.6pt;margin-top:728.35pt;width:169.7pt;height:32.65pt;z-index:9;mso-position-horizontal-relative:page;mso-position-vertical-relative:page" stroked="f">
            <v:textbox style="mso-next-textbox:#_x0000_s52533" inset="0,0,0,0">
              <w:txbxContent>
                <w:p w:rsidR="009E2574" w:rsidRDefault="009E257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534" o:spid="_x0000_s1034" type="#_x0000_t202" style="position:absolute;left:0;text-align:left;margin-left:80.65pt;margin-top:73.95pt;width:396pt;height:622.5pt;z-index:8;mso-position-horizontal-relative:page;mso-position-vertical-relative:page" stroked="f">
            <v:textbox style="mso-next-textbox:#_x0000_s52534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0"/>
                    <w:gridCol w:w="1421"/>
                  </w:tblGrid>
                  <w:tr w:rsidR="009E2574" w:rsidRPr="00C05D3A">
                    <w:trPr>
                      <w:jc w:val="right"/>
                    </w:trPr>
                    <w:tc>
                      <w:tcPr>
                        <w:tcW w:w="4013" w:type="pct"/>
                      </w:tcPr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כל רשות מקומית תקים ועדה לשימור אתרים, וזה הרכבה: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ברשות מקומית שהיא ועדה מקומית, לפי סעיף 18 לחוק - ראש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או יושב-ראש ועדת המשנה לתכנון ולבניה, וברשות מקומית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הנמצאת במרחב תכנון לפי סעיף 19 לחוק - ראש הרשות המקומית או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מסגניו, והוא יהיה היושב-ראש!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שלשה חברים של מועצת הרשות שתבחר הרשות;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הרשות הבקי בענייני תכנון ובניה שמינה ראש הרשות;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שמצוי בנושא שימור מבנים ואתרי התיישבות, אשר ייקבע בידי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הרשות, והוא יהיה בעל דעה מייעצת.</w:t>
                        </w:r>
                      </w:p>
                    </w:tc>
                    <w:tc>
                      <w:tcPr>
                        <w:tcW w:w="988" w:type="pct"/>
                      </w:tcPr>
                      <w:p w:rsidR="009E2574" w:rsidRPr="00C05D3A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לשימור</w:t>
                        </w:r>
                      </w:p>
                    </w:tc>
                  </w:tr>
                  <w:tr w:rsidR="009E2574" w:rsidRPr="00C05D3A">
                    <w:trPr>
                      <w:jc w:val="right"/>
                    </w:trPr>
                    <w:tc>
                      <w:tcPr>
                        <w:tcW w:w="4013" w:type="pct"/>
                      </w:tcPr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לכל דיון בועדה לשימור אתרים יוזמנו מהנדס הרשות המקומית ומתכנן</w:t>
                        </w:r>
                      </w:p>
                      <w:p w:rsidR="009E2574" w:rsidRPr="00C05D3A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 שבתחומו פועלת הועדה או נציגיהם.</w:t>
                        </w:r>
                      </w:p>
                    </w:tc>
                    <w:tc>
                      <w:tcPr>
                        <w:tcW w:w="988" w:type="pct"/>
                      </w:tcPr>
                      <w:p w:rsidR="009E2574" w:rsidRPr="00C05D3A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משתתפים</w:t>
                        </w:r>
                      </w:p>
                    </w:tc>
                  </w:tr>
                  <w:tr w:rsidR="009E2574" w:rsidRPr="00C05D3A">
                    <w:trPr>
                      <w:jc w:val="right"/>
                    </w:trPr>
                    <w:tc>
                      <w:tcPr>
                        <w:tcW w:w="4013" w:type="pct"/>
                      </w:tcPr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ועדה לשימור אתרים, תכין, תוך תקופה של שנתיים מיום הקמתה,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של אתרים הנמצאים בתחומה, שלדעתה ראוי לשמרם (להלן - רשימת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אתרים).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ברשימת אתרים יפורטו הטעמים לכך שהאתר ראוי לשימור, באיזו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מידה ניתן לפתח את האתר, פרטי הבעלים של האתר ובעלי זכויות אחרים בו,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ופרטים אחרים ככל שתמצא הועדה לשימור אתרים לנכון.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רשימת האתרים תשמש את הועדה לשימור אתרים ואת מוסדות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התכנון.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לשימור אתרים רשאית בכל עת לשנות את רשימת האתרים.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סימן ו' בפרק ב' לחוק יחולו על הועדה לשימור אתרים</w:t>
                        </w:r>
                      </w:p>
                      <w:p w:rsidR="009E2574" w:rsidRPr="00C05D3A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היתה מוסד תכנון, בשינויים המחוייבים.</w:t>
                        </w:r>
                      </w:p>
                    </w:tc>
                    <w:tc>
                      <w:tcPr>
                        <w:tcW w:w="988" w:type="pct"/>
                      </w:tcPr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אתרים</w:t>
                        </w:r>
                      </w:p>
                      <w:p w:rsidR="009E2574" w:rsidRPr="00C05D3A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לשימור</w:t>
                        </w:r>
                      </w:p>
                    </w:tc>
                  </w:tr>
                  <w:tr w:rsidR="009E2574" w:rsidRPr="00C05D3A">
                    <w:trPr>
                      <w:jc w:val="right"/>
                    </w:trPr>
                    <w:tc>
                      <w:tcPr>
                        <w:tcW w:w="4013" w:type="pct"/>
                      </w:tcPr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בנוסף לתפקידיה וסמכויותיה לפי סעיפים 12, 14 ו-15, תייעץ הועדה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לשימור אתרים למועצת הרשות המקומית ולועדה המקומית שמרחב תכנונה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את תחום הרשות המקומית, בכל ענין הנוגע לשימורם של אתרים, וכן</w:t>
                        </w:r>
                      </w:p>
                      <w:p w:rsidR="009E2574" w:rsidRPr="00C05D3A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לייעץ לועדה המחוזית, אם נתבקשה על ידה לעשות כן.</w:t>
                        </w:r>
                      </w:p>
                    </w:tc>
                    <w:tc>
                      <w:tcPr>
                        <w:tcW w:w="988" w:type="pct"/>
                      </w:tcPr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ועדה</w:t>
                        </w:r>
                      </w:p>
                      <w:p w:rsidR="009E2574" w:rsidRPr="00C05D3A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לשימור</w:t>
                        </w:r>
                      </w:p>
                    </w:tc>
                  </w:tr>
                  <w:tr w:rsidR="009E2574" w:rsidRPr="00C05D3A">
                    <w:trPr>
                      <w:jc w:val="right"/>
                    </w:trPr>
                    <w:tc>
                      <w:tcPr>
                        <w:tcW w:w="4013" w:type="pct"/>
                      </w:tcPr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סברה הועדה לשימור אתרים, על-פי חוות דעתו של מהנדס הרשות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המקומית, כי לאתר המיועד לשימור נשקפת סכנה ממשית של הרס, או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ששימורו של האתר ייפגם בצורה העלולה לפגוע במטרת השימור, רשאית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לשימור אתרים באמצעות מהנדס הרשות המקומית, לדרוש מן הבעלים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עבודות אחזקה באתר תוך תקופה שתקבע; נשקפה לאתר המיועד סכנה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ממשית של הרס ולא ביצעו הבעלים את העבודות, רשאית הרשות המקומית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את העבודות החיוניות למניעת הריסתו של האתר, והבעלים יחוייבו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בהחזר ההוצאות האמורות, אם לא החליטה הרשות המקומית לשאת בהוצאות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אלה, כולן או חלקן.</w:t>
                        </w:r>
                      </w:p>
                      <w:p w:rsidR="009E2574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אתר כאמור בסעיף קטן (א) נכס המוחזק בידי דייר מוגן לפי חוק</w:t>
                        </w:r>
                      </w:p>
                      <w:p w:rsidR="009E2574" w:rsidRPr="00C05D3A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הדייר, התשל"ב-31972 (להלן - דייר מוגן), רשאית הועדה לשימור,</w:t>
                        </w:r>
                      </w:p>
                    </w:tc>
                    <w:tc>
                      <w:tcPr>
                        <w:tcW w:w="988" w:type="pct"/>
                      </w:tcPr>
                      <w:p w:rsidR="009E2574" w:rsidRPr="00C05D3A" w:rsidRDefault="009E25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אחזקה</w:t>
                        </w:r>
                      </w:p>
                    </w:tc>
                  </w:tr>
                </w:tbl>
                <w:p w:rsidR="009E2574" w:rsidRDefault="009E257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E1885" w:rsidRDefault="00BE1885">
      <w:pPr>
        <w:rPr>
          <w:rtl/>
        </w:rPr>
      </w:pPr>
      <w:r>
        <w:rPr>
          <w:rtl/>
        </w:rPr>
        <w:br w:type="page"/>
      </w:r>
    </w:p>
    <w:p w:rsidR="00BE1885" w:rsidRDefault="00000000">
      <w:pPr>
        <w:rPr>
          <w:rtl/>
        </w:rPr>
      </w:pPr>
      <w:r>
        <w:pict>
          <v:shape id="_x0000_s5253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2535" inset="0,0,0,0">
              <w:txbxContent>
                <w:p w:rsidR="009E2574" w:rsidRDefault="009E2574">
                  <w:r>
                    <w:rPr>
                      <w:rtl/>
                    </w:rPr>
                    <w:t>167                                         ספר החוקים 1359                  ל' בסיוון התשנ"א 12.06.1991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36" o:spid="_x0000_s1036" type="#_x0000_t202" style="position:absolute;left:0;text-align:left;margin-left:355.65pt;margin-top:703.25pt;width:205.7pt;height:54.25pt;z-index:12;mso-position-horizontal-relative:page;mso-position-vertical-relative:page" stroked="f">
            <v:textbox style="mso-next-textbox:#_x0000_s52536" inset="0,0,0,0">
              <w:txbxContent>
                <w:p w:rsidR="009E2574" w:rsidRPr="00BE1885" w:rsidRDefault="009E2574">
                  <w:pPr>
                    <w:pStyle w:val="OCRStyle4"/>
                    <w:ind w:left="1559"/>
                  </w:pPr>
                  <w:r>
                    <w:rPr>
                      <w:rtl/>
                    </w:rPr>
                    <w:t>4 ע"ר 1943, תוס' 1,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37" o:spid="_x0000_s1037" type="#_x0000_t202" style="position:absolute;left:0;text-align:left;margin-left:148.15pt;margin-top:78.35pt;width:408.85pt;height:612pt;z-index:11;mso-position-horizontal-relative:page;mso-position-vertical-relative:page" stroked="f">
            <v:textbox style="mso-next-textbox:#_x0000_s52537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4"/>
                    <w:gridCol w:w="1320"/>
                  </w:tblGrid>
                  <w:tr w:rsidR="009E2574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מהנדס הרשות המקומית, לדרוש מן הדייר המוגן לבצע עבודות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אחזקה באתר תוך תקופה שתקבע, ועל העבודות האמורות יחולו, בשינויים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הוראות סעיף 70 לחוק האמור.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בדרישה כאמור, תפורט חלוקת ההוצאות לביצוע העבודות בין בעל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לבין הדייר המוגן, על פי קביעה של ראש הרשות המקומית, שתינתן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שעיין בחוות דעת בכתב של מהנדס הרשות המקומית ושל היועץ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שלה, המתייחסות לנכס נשוא העבודות וליתר נסיבות הענין.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בוצעו העבודות ונשקפה לאתר המיועד סכנה ממשית של הרס,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הרשות המקומית לבצע את העבודות החיוניות למניעת הריסתו של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האתר והוצאות העבודה יחולו בהתאם לחלוקה שנקבעה על פי סעיפים קטנים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(ב) ו-(ג).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לשם בדיקת האתר והערכת הצורך בעבודות אחזקה, רשאי אדם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שמינתה הועדה לשימור אתרים, להיכנס לאתר ולערוך את הבדיקות הנדרשות,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ויהיו לו לענין זה, הסמכויות הקבועות בסעיף 257 לחוק.</w:t>
                        </w:r>
                      </w:p>
                    </w:tc>
                    <w:tc>
                      <w:tcPr>
                        <w:tcW w:w="888" w:type="pct"/>
                      </w:tcPr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9E2574" w:rsidRPr="00BE1885">
                    <w:trPr>
                      <w:jc w:val="right"/>
                    </w:trPr>
                    <w:tc>
                      <w:tcPr>
                        <w:tcW w:w="4112" w:type="pct"/>
                      </w:tcPr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לא בוצעו עבודות אחזקה באתר על ידי מי שנדרש לכך בתוך הזמן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שהקציבה הועדה לשימור אתרים כאמור בסעיף 14, וסברה הועדה על-פי חוות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של מהנדס הרשות המקומית, כי קיים חשש שהאתר ייפגע בצורה העלולה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לסכל את מטרת השימור, רשאית הרשות המקומית שבתחומה מצוי האתר,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להפקיע את האתר או חלק ממנו.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יופקע אתר כאמור בסעיף קטן (א) אלא אם כן נתנה הועדה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אישור לכך לאחר שנתנה לבעל הנכס הזדמנות להביא טענותיו בפני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לשימור אתרים ובפני הועדה המחוזית.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לצרכי פיצויים בתמורה להפקעה, כאמור בסעיף קטן (א), לא תובא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אפשרות הפיתוח של הקרקע אילולא נועד האתר לשימור.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הופקע אתר לפי סעיף זה, רשאית הרשות המקומית למכרו או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להחכירו, בכפוף לאמור בפסקה (2), ובלבד שבתנאי המכירה או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החכירה יובטח שימור האתר: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הועמד האתר למכירה או לחכירה, כאמור בפסקה (1),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זמן העולה על חמש שנים, תוך חמש שנים מיום ההפקעה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מי שהאתר הופקע ממנו זכאי לרכשו או לחכרו, לפי הענין,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ראשונה, תוך 60 ימים מיום שהודיעה לו הרשות המקומית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כוונתה למכור או להחכיר את האתר כאמור, ובלבד שמחיר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או החכירה לא יפחת ממחיר שקבע השמאי הממשלתי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או מי שהוא הסמיך לכך;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מכירה או חכירה לפי סעיף זה טעונה אישור שר הפנים או מי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הסמיך לכך.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נקבעו הוראות מיוחדות בתוספת זו, תבוצע ההפקעה על פי</w:t>
                        </w:r>
                      </w:p>
                      <w:p w:rsidR="009E2574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הקרקעות (רכישה לצרכי ציבור), 41943, כאילו הורשתה הרשות</w:t>
                        </w:r>
                      </w:p>
                    </w:tc>
                    <w:tc>
                      <w:tcPr>
                        <w:tcW w:w="888" w:type="pct"/>
                      </w:tcPr>
                      <w:p w:rsidR="009E2574" w:rsidRPr="00BE1885" w:rsidRDefault="009E257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הפקעה ופיצויים</w:t>
                        </w:r>
                      </w:p>
                    </w:tc>
                  </w:tr>
                </w:tbl>
                <w:p w:rsidR="009E2574" w:rsidRDefault="009E257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E2574" w:rsidRDefault="009E2574">
      <w:pPr>
        <w:rPr>
          <w:rtl/>
        </w:rPr>
      </w:pPr>
      <w:r>
        <w:rPr>
          <w:rtl/>
        </w:rPr>
        <w:br w:type="page"/>
      </w:r>
    </w:p>
    <w:p w:rsidR="009E2574" w:rsidRDefault="00000000">
      <w:pPr>
        <w:rPr>
          <w:rtl/>
        </w:rPr>
      </w:pPr>
      <w:r>
        <w:pict>
          <v:shape id="_x0000_s52538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52538" inset="0,0,0,0">
              <w:txbxContent>
                <w:p w:rsidR="009E2574" w:rsidRDefault="009E2574">
                  <w:r>
                    <w:rPr>
                      <w:rtl/>
                    </w:rPr>
                    <w:t>168                                         ספר החוקים 1359                  ל' בסיוון התשנ"א 12.06.1991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39" o:spid="_x0000_s1039" type="#_x0000_t202" style="position:absolute;left:0;text-align:left;margin-left:95.05pt;margin-top:430.4pt;width:81.75pt;height:33.65pt;z-index:18;mso-position-horizontal-relative:page;mso-position-vertical-relative:page" stroked="f">
            <v:textbox style="mso-next-textbox:#_x0000_s52539" inset="0,0,0,0">
              <w:txbxContent>
                <w:p w:rsidR="009E2574" w:rsidRDefault="009E2574">
                  <w:pPr>
                    <w:pStyle w:val="OCRStyle5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9E2574" w:rsidRDefault="009E2574">
                  <w:pPr>
                    <w:pStyle w:val="OCRStyle5"/>
                    <w:ind w:left="30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40" o:spid="_x0000_s1040" type="#_x0000_t202" style="position:absolute;left:0;text-align:left;margin-left:180.2pt;margin-top:459.1pt;width:93.05pt;height:30.7pt;z-index:17;mso-position-horizontal-relative:page;mso-position-vertical-relative:page" stroked="f">
            <v:textbox style="mso-next-textbox:#_x0000_s52540" inset="0,0,0,0">
              <w:txbxContent>
                <w:p w:rsidR="009E2574" w:rsidRDefault="009E2574">
                  <w:pPr>
                    <w:pStyle w:val="OCRStyle5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E2574" w:rsidRDefault="009E2574">
                  <w:pPr>
                    <w:pStyle w:val="OCRStyle5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41" o:spid="_x0000_s1041" type="#_x0000_t202" style="position:absolute;left:0;text-align:left;margin-left:272.25pt;margin-top:430.4pt;width:75.85pt;height:28.5pt;z-index:16;mso-position-horizontal-relative:page;mso-position-vertical-relative:page" stroked="f">
            <v:textbox style="mso-next-textbox:#_x0000_s52541" inset="0,0,0,0">
              <w:txbxContent>
                <w:p w:rsidR="009E2574" w:rsidRDefault="009E2574">
                  <w:pPr>
                    <w:pStyle w:val="OCRStyle5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E2574" w:rsidRDefault="009E2574">
                  <w:pPr>
                    <w:pStyle w:val="OCRStyle5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42" o:spid="_x0000_s1042" type="#_x0000_t202" style="position:absolute;left:0;text-align:left;margin-left:366.1pt;margin-top:457.95pt;width:81pt;height:37.05pt;z-index:15;mso-position-horizontal-relative:page;mso-position-vertical-relative:page" stroked="f">
            <v:textbox style="mso-next-textbox:#_x0000_s52542" inset="0,0,0,0">
              <w:txbxContent>
                <w:p w:rsidR="009E2574" w:rsidRDefault="009E2574">
                  <w:pPr>
                    <w:pStyle w:val="OCRStyle5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E2574" w:rsidRDefault="009E2574">
                  <w:pPr>
                    <w:pStyle w:val="OCRStyle5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43" o:spid="_x0000_s1043" type="#_x0000_t202" style="position:absolute;left:0;text-align:left;margin-left:78.65pt;margin-top:80.95pt;width:400.35pt;height:344.3pt;z-index:14;mso-position-horizontal-relative:page;mso-position-vertical-relative:page" stroked="f">
            <v:textbox style="mso-next-textbox:#_x0000_s52543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3"/>
                    <w:gridCol w:w="1256"/>
                  </w:tblGrid>
                  <w:tr w:rsidR="009E2574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שבתחומה מצוי האתר, בהודעה ברשומות, להשתמש בסמכויות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ולמלא את התפקידים של הממשלה או של היועץ המשפטי לממשלה לפי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האמורה, לענין המקרקעין העומדים להפקעה.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E2574" w:rsidRPr="009E2574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הרואה עצמו נפגע על-ידי החלטות שנתקבלו לפי סעיפים 9, 14 או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(א), רשאי לערור עליהן בפני ועדת ערר בת שלושה חברים שימנה לענין זה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המשפטים; יושב ראש הועדה יהיה עורך דין בעל ותק של שלוש שנים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לפחות.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ועדת ערר הדנה בערר לענין סעיף 9, רשאית לבטל פטור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או לשנות את שיעור הפטור ואת משך תחולתו.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ועדת ערר הדנה בערר לענין סעיף 14, רשאית לבטל את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הועדה לשימור אתרים, לשנותה, להורות על מי תחול חובת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העבודות האמורות בסעיף, וכן להורות על חלוקה שונה של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בין בעל הנכס, הדייר המוגן והרשות המקומית, הכל לפי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ועדת ערר הדנה בערר לענין סעיף 15 (א), רשאית לבטל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בדבר הפקעת אתר או חלק ממנו.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עצמו נפגע מהחלטת ועדת הערר רשאי לערער עליה לפני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שידון בערעור בדן יחיד.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החלטת בית המשפט המחוזי לפי סעיף קטן (ב), ניתן לערער לפני</w:t>
                        </w:r>
                      </w:p>
                      <w:p w:rsid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לאחר קבלת רשות לכך מאת נשיא בית המשפט העליון.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E2574" w:rsidRP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9E2574" w:rsidRPr="009E2574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9E2574" w:rsidRP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תוספת זו באות להוסיף על הוראות כל דין ולא לגרוע מהן."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E2574" w:rsidRPr="009E2574" w:rsidRDefault="009E257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9E2574" w:rsidRDefault="009E257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A04D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69ED02-8FE6-498A-B78A-17E1501B0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A04D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F0B5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05D3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E188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E25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2008-04-07T12:47:00Z</dcterms:created>
  <dcterms:modified xsi:type="dcterms:W3CDTF">2008-04-07T12:48:00Z</dcterms:modified>
</cp:coreProperties>
</file>