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2B7AAD" w:rsidRDefault="002B7AAD">
      <w:pPr>
        <w:rPr>
          <w:rtl/>
        </w:rPr>
      </w:pPr>
    </w:p>
    <w:p w:rsidR="002B7AAD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52722" o:spid="_x0000_s1025" type="#_x0000_t202" style="position:absolute;left:0;text-align:left;margin-left:50pt;margin-top:771.95pt;width:495.35pt;height:30pt;z-index:4;mso-position-horizontal-relative:page;mso-position-vertical-relative:page" stroked="f">
            <v:textbox style="mso-next-textbox:#_x0000_s52722" inset="0,0,0,0">
              <w:txbxContent>
                <w:p w:rsidR="00060683" w:rsidRDefault="00060683">
                  <w:r>
                    <w:rPr>
                      <w:rtl/>
                    </w:rPr>
                    <w:t>196                                         ספר החוקים 1329                     י"ט באב התש"נ 10.08.1990</w:t>
                  </w:r>
                </w:p>
              </w:txbxContent>
            </v:textbox>
            <w10:wrap anchorx="page" anchory="page"/>
          </v:shape>
        </w:pict>
      </w:r>
      <w:r>
        <w:pict>
          <v:shape id="_x0000_s52723" o:spid="_x0000_s1026" type="#_x0000_t202" style="position:absolute;left:0;text-align:left;margin-left:81.2pt;margin-top:667.45pt;width:385.7pt;height:80.8pt;z-index:3;mso-position-horizontal-relative:page;mso-position-vertical-relative:page" stroked="f">
            <v:textbox style="mso-next-textbox:#_x0000_s52723" inset="0,0,0,0">
              <w:txbxContent>
                <w:p w:rsidR="00060683" w:rsidRDefault="00060683">
                  <w:pPr>
                    <w:pStyle w:val="OCRStyle1"/>
                    <w:ind w:left="54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י"א באב התש''ן (2 באוגוסט 1990)! הצעת החוק ודברי הסבר פורסמו בהצעות חוק 2001, עמ' 223</w:t>
                  </w:r>
                </w:p>
                <w:p w:rsidR="00060683" w:rsidRDefault="00060683">
                  <w:pPr>
                    <w:pStyle w:val="OCRStyle1"/>
                    <w:ind w:left="256"/>
                    <w:rPr>
                      <w:rtl/>
                    </w:rPr>
                  </w:pPr>
                  <w:r>
                    <w:rPr>
                      <w:rtl/>
                    </w:rPr>
                    <w:t>ועמ' 229.</w:t>
                  </w:r>
                </w:p>
                <w:p w:rsidR="00060683" w:rsidRDefault="00060683">
                  <w:pPr>
                    <w:pStyle w:val="OCRStyle1"/>
                    <w:ind w:left="54"/>
                    <w:rPr>
                      <w:rtl/>
                    </w:rPr>
                  </w:pPr>
                  <w:r>
                    <w:rPr>
                      <w:rtl/>
                    </w:rPr>
                    <w:t>1 ס"ח התשל"ז, עמ' 226 :התשמ"ח, עמ' 62: התש"ו, עמ' 10.</w:t>
                  </w:r>
                </w:p>
                <w:p w:rsidR="00060683" w:rsidRPr="002B7AAD" w:rsidRDefault="00060683">
                  <w:pPr>
                    <w:pStyle w:val="OCRStyle1"/>
                    <w:ind w:left="47"/>
                  </w:pPr>
                  <w:r>
                    <w:rPr>
                      <w:rtl/>
                    </w:rPr>
                    <w:t>2 ס"ח התשכ"ב, עמ' .120</w:t>
                  </w:r>
                </w:p>
              </w:txbxContent>
            </v:textbox>
            <w10:wrap anchorx="page" anchory="page"/>
          </v:shape>
        </w:pict>
      </w:r>
      <w:r>
        <w:pict>
          <v:shape id="_x0000_s52724" o:spid="_x0000_s1027" type="#_x0000_t202" style="position:absolute;left:0;text-align:left;margin-left:83.4pt;margin-top:411.2pt;width:473.4pt;height:255.8pt;z-index:2;mso-position-horizontal-relative:page;mso-position-vertical-relative:page" stroked="f">
            <v:textbox style="mso-next-textbox:#_x0000_s52724" inset="0,0,0,0">
              <w:txbxContent>
                <w:tbl>
                  <w:tblPr>
                    <w:tblW w:w="4438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151"/>
                    <w:gridCol w:w="1458"/>
                  </w:tblGrid>
                  <w:tr w:rsidR="00060683" w:rsidRPr="002B7AAD">
                    <w:trPr>
                      <w:jc w:val="right"/>
                    </w:trPr>
                    <w:tc>
                      <w:tcPr>
                        <w:tcW w:w="4153" w:type="pct"/>
                      </w:tcPr>
                      <w:p w:rsidR="00060683" w:rsidRDefault="00060683">
                        <w:pPr>
                          <w:pStyle w:val="OCRStyle1"/>
                          <w:rPr>
                            <w:sz w:val="22"/>
                            <w:szCs w:val="22"/>
                            <w:rtl/>
                          </w:rPr>
                        </w:pPr>
                        <w:r>
                          <w:rPr>
                            <w:sz w:val="22"/>
                            <w:szCs w:val="22"/>
                            <w:rtl/>
                          </w:rPr>
                          <w:t>1. בחוק העונשין, התשל"ז-1977 1(להלן - החוק העיקרי), בסעיף 345, אחרי סעיף קטן (ב)</w:t>
                        </w:r>
                      </w:p>
                      <w:p w:rsidR="00060683" w:rsidRDefault="0006068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יבוא:</w:t>
                        </w:r>
                      </w:p>
                      <w:p w:rsidR="00060683" w:rsidRDefault="0006068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"(ג) בסימן זה -</w:t>
                        </w:r>
                      </w:p>
                      <w:p w:rsidR="00060683" w:rsidRDefault="0006068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"בועל" - המחדיר איבר מאיברי הגוף או חפץ לאיבר המין של האישה?</w:t>
                        </w:r>
                      </w:p>
                      <w:p w:rsidR="00060683" w:rsidRPr="002B7AAD" w:rsidRDefault="0006068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"קטין" - כהגדרתו בחוק הכשרות המשפטית והאפוטרופסות, התשכ"ב-21962."</w:t>
                        </w:r>
                      </w:p>
                    </w:tc>
                    <w:tc>
                      <w:tcPr>
                        <w:tcW w:w="847" w:type="pct"/>
                      </w:tcPr>
                      <w:p w:rsidR="00060683" w:rsidRPr="002B7AAD" w:rsidRDefault="0006068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345</w:t>
                        </w:r>
                      </w:p>
                    </w:tc>
                  </w:tr>
                  <w:tr w:rsidR="00060683" w:rsidRPr="002B7AAD">
                    <w:trPr>
                      <w:jc w:val="right"/>
                    </w:trPr>
                    <w:tc>
                      <w:tcPr>
                        <w:tcW w:w="4153" w:type="pct"/>
                      </w:tcPr>
                      <w:p w:rsidR="00060683" w:rsidRPr="002B7AAD" w:rsidRDefault="0006068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2. בסעיף 346 לחוק העיקרי סעיף קטן (ב) - יימחק, וסעיף קטן (ג) יסומן (ב).</w:t>
                        </w:r>
                      </w:p>
                    </w:tc>
                    <w:tc>
                      <w:tcPr>
                        <w:tcW w:w="847" w:type="pct"/>
                      </w:tcPr>
                      <w:p w:rsidR="00060683" w:rsidRPr="002B7AAD" w:rsidRDefault="0006068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346</w:t>
                        </w:r>
                      </w:p>
                    </w:tc>
                  </w:tr>
                  <w:tr w:rsidR="00060683" w:rsidRPr="002B7AAD">
                    <w:trPr>
                      <w:jc w:val="right"/>
                    </w:trPr>
                    <w:tc>
                      <w:tcPr>
                        <w:tcW w:w="4153" w:type="pct"/>
                      </w:tcPr>
                      <w:p w:rsidR="00060683" w:rsidRDefault="0006068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3. בסעיף 347 לחוק העיקרי -</w:t>
                        </w:r>
                      </w:p>
                      <w:p w:rsidR="00060683" w:rsidRDefault="0006068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אחרי סעיף קטן (א) יבוא:</w:t>
                        </w:r>
                      </w:p>
                      <w:p w:rsidR="00060683" w:rsidRDefault="0006068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"(א1) העושה מעשה סדום באדם שמלאו לו שמונה עשרה שנים תוך ניצול</w:t>
                        </w:r>
                      </w:p>
                      <w:p w:rsidR="00060683" w:rsidRDefault="0006068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מרות ביחסי עבודה או בשירות, דינו - מאסר שלוש שנים."-,</w:t>
                        </w:r>
                      </w:p>
                      <w:p w:rsidR="00060683" w:rsidRDefault="0006068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במקום סעיף קטן (ג) יבוא:</w:t>
                        </w:r>
                      </w:p>
                      <w:p w:rsidR="00060683" w:rsidRDefault="0006068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"(ג) לענין סימן זה, "מעשה סדום" - החדרת איבר המין של גבר לפי הטבעת</w:t>
                        </w:r>
                      </w:p>
                      <w:p w:rsidR="00060683" w:rsidRPr="002B7AAD" w:rsidRDefault="0006068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לפה של אדם, או החדרת חפץ לפי הטבעת של אדם."</w:t>
                        </w:r>
                      </w:p>
                    </w:tc>
                    <w:tc>
                      <w:tcPr>
                        <w:tcW w:w="847" w:type="pct"/>
                      </w:tcPr>
                      <w:p w:rsidR="00060683" w:rsidRPr="002B7AAD" w:rsidRDefault="0006068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347</w:t>
                        </w:r>
                      </w:p>
                    </w:tc>
                  </w:tr>
                </w:tbl>
                <w:p w:rsidR="00060683" w:rsidRDefault="00060683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52725" o:spid="_x0000_s1028" type="#_x0000_t202" style="position:absolute;left:0;text-align:left;margin-left:167.55pt;margin-top:384.7pt;width:230.85pt;height:18.8pt;z-index:1;mso-position-horizontal-relative:page;mso-position-vertical-relative:page" stroked="f">
            <v:textbox style="mso-next-textbox:#_x0000_s52725" inset="0,0,0,0">
              <w:txbxContent>
                <w:p w:rsidR="00060683" w:rsidRPr="002B7AAD" w:rsidRDefault="00060683">
                  <w:pPr>
                    <w:pStyle w:val="OCRStyle1"/>
                    <w:ind w:left="198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  <w:rtl/>
                    </w:rPr>
                    <w:t>חוק העונשין (תיקון מס' 30), התש"ן-1990*</w:t>
                  </w:r>
                </w:p>
              </w:txbxContent>
            </v:textbox>
            <w10:wrap anchorx="page" anchory="page"/>
          </v:shape>
        </w:pict>
      </w:r>
    </w:p>
    <w:p w:rsidR="00EA1CFF" w:rsidRDefault="00EA1CFF">
      <w:pPr>
        <w:rPr>
          <w:rtl/>
        </w:rPr>
      </w:pPr>
      <w:r>
        <w:rPr>
          <w:rtl/>
        </w:rPr>
        <w:br w:type="page"/>
      </w:r>
    </w:p>
    <w:p w:rsidR="00EA1CFF" w:rsidRDefault="00000000">
      <w:pPr>
        <w:rPr>
          <w:rtl/>
        </w:rPr>
      </w:pPr>
      <w:r>
        <w:pict>
          <v:shape id="_x0000_s52726" o:spid="_x0000_s1029" type="#_x0000_t202" style="position:absolute;left:0;text-align:left;margin-left:50pt;margin-top:771.95pt;width:495.35pt;height:30pt;z-index:7;mso-position-horizontal-relative:page;mso-position-vertical-relative:page" stroked="f">
            <v:textbox style="mso-next-textbox:#_x0000_s52726" inset="0,0,0,0">
              <w:txbxContent>
                <w:p w:rsidR="00060683" w:rsidRDefault="00060683">
                  <w:r>
                    <w:rPr>
                      <w:rtl/>
                    </w:rPr>
                    <w:t>197                                         ספר החוקים 1329                     י"ט באב התש"נ 10.08.1990</w:t>
                  </w:r>
                </w:p>
              </w:txbxContent>
            </v:textbox>
            <w10:wrap anchorx="page" anchory="page"/>
          </v:shape>
        </w:pict>
      </w:r>
      <w:r>
        <w:pict>
          <v:shape id="_x0000_s52727" o:spid="_x0000_s1030" type="#_x0000_t202" style="position:absolute;left:0;text-align:left;margin-left:380.05pt;margin-top:718.1pt;width:166.1pt;height:28.3pt;z-index:6;mso-position-horizontal-relative:page;mso-position-vertical-relative:page" stroked="f">
            <v:textbox style="mso-next-textbox:#_x0000_s52727" inset="0,0,0,0">
              <w:txbxContent>
                <w:p w:rsidR="00060683" w:rsidRDefault="00060683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  <w:r>
        <w:pict>
          <v:shape id="_x0000_s52728" o:spid="_x0000_s1031" type="#_x0000_t202" style="position:absolute;left:0;text-align:left;margin-left:77.9pt;margin-top:65.45pt;width:471.65pt;height:641.3pt;z-index:5;mso-position-horizontal-relative:page;mso-position-vertical-relative:page" stroked="f">
            <v:textbox style="mso-next-textbox:#_x0000_s52728" inset="0,0,0,0">
              <w:txbxContent>
                <w:tbl>
                  <w:tblPr>
                    <w:tblW w:w="4437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472"/>
                    <w:gridCol w:w="5710"/>
                    <w:gridCol w:w="1394"/>
                  </w:tblGrid>
                  <w:tr w:rsidR="00060683" w:rsidRPr="00EA1CFF">
                    <w:trPr>
                      <w:jc w:val="right"/>
                    </w:trPr>
                    <w:tc>
                      <w:tcPr>
                        <w:tcW w:w="858" w:type="pct"/>
                      </w:tcPr>
                      <w:p w:rsidR="00060683" w:rsidRPr="00EA1CFF" w:rsidRDefault="0006068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החלפת סעיף 348</w:t>
                        </w:r>
                      </w:p>
                    </w:tc>
                    <w:tc>
                      <w:tcPr>
                        <w:tcW w:w="4142" w:type="pct"/>
                        <w:gridSpan w:val="2"/>
                      </w:tcPr>
                      <w:p w:rsidR="00060683" w:rsidRPr="00EA1CFF" w:rsidRDefault="0006068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4. במקום סעיף 348 לחוק העיקרי יבוא:</w:t>
                        </w:r>
                      </w:p>
                    </w:tc>
                  </w:tr>
                  <w:tr w:rsidR="00060683" w:rsidRPr="00EA1CFF">
                    <w:trPr>
                      <w:jc w:val="right"/>
                    </w:trPr>
                    <w:tc>
                      <w:tcPr>
                        <w:tcW w:w="858" w:type="pct"/>
                      </w:tcPr>
                      <w:p w:rsidR="00060683" w:rsidRDefault="00060683">
                        <w:pPr>
                          <w:pStyle w:val="OCRStyle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329" w:type="pct"/>
                      </w:tcPr>
                      <w:p w:rsidR="00060683" w:rsidRDefault="0006068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348. (א) העושה מעשה מגונה באדם באחת הנסיבות המנויות בסעיף</w:t>
                        </w:r>
                      </w:p>
                      <w:p w:rsidR="00060683" w:rsidRDefault="0006068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345(א10) עד (4), בשינויים המחוייבים, דינו - מאסר שבע שנים.</w:t>
                        </w:r>
                      </w:p>
                      <w:p w:rsidR="00060683" w:rsidRDefault="0006068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העושה מעשה מגונה באדם כאחת הנסיבות המנויות בסעיף 345(ב)</w:t>
                        </w:r>
                      </w:p>
                      <w:p w:rsidR="00060683" w:rsidRDefault="0006068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עד (5), בשינויים המחוייבים, דינו - מאסר עשר שנים.</w:t>
                        </w:r>
                      </w:p>
                      <w:p w:rsidR="00060683" w:rsidRDefault="0006068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העושה מעשה מגונה באדם בלא הסכמתו אך שלא בנסיבות המנויות</w:t>
                        </w:r>
                      </w:p>
                      <w:p w:rsidR="00060683" w:rsidRDefault="0006068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בסעיף 345, דינו - מאסר שלוש שנים.</w:t>
                        </w:r>
                      </w:p>
                      <w:p w:rsidR="00060683" w:rsidRDefault="0006068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העושה מעשה מגונה באדם שהוא קטין שמלאו לו ארבע עשרה שנים</w:t>
                        </w:r>
                      </w:p>
                      <w:p w:rsidR="00060683" w:rsidRDefault="0006068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תוך ניצול יחסי תלות, מרות, חינוך, השגחה, עבודה או שירות, דינו - מאסר</w:t>
                        </w:r>
                      </w:p>
                      <w:p w:rsidR="00060683" w:rsidRDefault="0006068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ארבע שנים.</w:t>
                        </w:r>
                      </w:p>
                      <w:p w:rsidR="00060683" w:rsidRDefault="0006068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(ה) העושה מעשה מגונה באדם שמלאו לו שמונה עשרה שנים תוך</w:t>
                        </w:r>
                      </w:p>
                      <w:p w:rsidR="00060683" w:rsidRDefault="0006068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ניצול מרות ביחסי עבודה או בשירות, דינו - מאסר שנתיים.</w:t>
                        </w:r>
                      </w:p>
                      <w:p w:rsidR="00060683" w:rsidRDefault="0006068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(ו) בסימן זה, "מעשה מגונה" - מעשה לשם גירוי, סיפוק או ביזוי</w:t>
                        </w:r>
                      </w:p>
                      <w:p w:rsidR="00060683" w:rsidRDefault="0006068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מיניים."</w:t>
                        </w:r>
                      </w:p>
                    </w:tc>
                    <w:tc>
                      <w:tcPr>
                        <w:tcW w:w="813" w:type="pct"/>
                      </w:tcPr>
                      <w:p w:rsidR="00060683" w:rsidRPr="00EA1CFF" w:rsidRDefault="0006068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"מעשה מגינה</w:t>
                        </w:r>
                      </w:p>
                    </w:tc>
                  </w:tr>
                  <w:tr w:rsidR="00060683" w:rsidRPr="00EA1CFF">
                    <w:trPr>
                      <w:jc w:val="right"/>
                    </w:trPr>
                    <w:tc>
                      <w:tcPr>
                        <w:tcW w:w="858" w:type="pct"/>
                      </w:tcPr>
                      <w:p w:rsidR="00060683" w:rsidRPr="00EA1CFF" w:rsidRDefault="0006068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החלפת סעיף 349</w:t>
                        </w:r>
                      </w:p>
                    </w:tc>
                    <w:tc>
                      <w:tcPr>
                        <w:tcW w:w="4142" w:type="pct"/>
                        <w:gridSpan w:val="2"/>
                      </w:tcPr>
                      <w:p w:rsidR="00060683" w:rsidRPr="00EA1CFF" w:rsidRDefault="0006068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5. במקום סעיף 349 לחוק העיקרי יבוא:</w:t>
                        </w:r>
                      </w:p>
                    </w:tc>
                  </w:tr>
                  <w:tr w:rsidR="00060683" w:rsidRPr="00EA1CFF">
                    <w:trPr>
                      <w:jc w:val="right"/>
                    </w:trPr>
                    <w:tc>
                      <w:tcPr>
                        <w:tcW w:w="858" w:type="pct"/>
                      </w:tcPr>
                      <w:p w:rsidR="00060683" w:rsidRDefault="00060683">
                        <w:pPr>
                          <w:pStyle w:val="OCRStyle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329" w:type="pct"/>
                      </w:tcPr>
                      <w:p w:rsidR="00060683" w:rsidRDefault="0006068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349. (א) העושה מעשה מגונה בפומבי בפני אדם אחר, ללא הסכמתו, או</w:t>
                        </w:r>
                      </w:p>
                      <w:p w:rsidR="00060683" w:rsidRDefault="0006068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העושה מעשה כאמור בכל מקום שהוא תוך ניצול יחסי תלות, מרות, חינוך,</w:t>
                        </w:r>
                      </w:p>
                      <w:p w:rsidR="00060683" w:rsidRDefault="0006068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השגחה, עבודה או שירות, דינו - מאסר שנה.</w:t>
                        </w:r>
                      </w:p>
                      <w:p w:rsidR="00060683" w:rsidRDefault="0006068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העושה, בכל מקום שהוא, מעשה מגונה בפני אדם שטרם מלאו לו</w:t>
                        </w:r>
                      </w:p>
                      <w:p w:rsidR="00060683" w:rsidRDefault="0006068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שש עשרה שנים, דינו - מאסר שלוש שנים.".</w:t>
                        </w:r>
                      </w:p>
                    </w:tc>
                    <w:tc>
                      <w:tcPr>
                        <w:tcW w:w="813" w:type="pct"/>
                      </w:tcPr>
                      <w:p w:rsidR="00060683" w:rsidRDefault="0006068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"מעשה מגונה</w:t>
                        </w:r>
                      </w:p>
                      <w:p w:rsidR="00060683" w:rsidRPr="00EA1CFF" w:rsidRDefault="0006068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בפומבי</w:t>
                        </w:r>
                      </w:p>
                    </w:tc>
                  </w:tr>
                  <w:tr w:rsidR="00060683" w:rsidRPr="00EA1CFF">
                    <w:trPr>
                      <w:jc w:val="right"/>
                    </w:trPr>
                    <w:tc>
                      <w:tcPr>
                        <w:tcW w:w="858" w:type="pct"/>
                      </w:tcPr>
                      <w:p w:rsidR="00060683" w:rsidRPr="00EA1CFF" w:rsidRDefault="0006068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הוספת סעיף 351</w:t>
                        </w:r>
                      </w:p>
                    </w:tc>
                    <w:tc>
                      <w:tcPr>
                        <w:tcW w:w="4142" w:type="pct"/>
                        <w:gridSpan w:val="2"/>
                      </w:tcPr>
                      <w:p w:rsidR="00060683" w:rsidRPr="00EA1CFF" w:rsidRDefault="0006068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6. אחרי סעיף 350 לחוק העיקרי יבוא:</w:t>
                        </w:r>
                      </w:p>
                    </w:tc>
                  </w:tr>
                  <w:tr w:rsidR="00060683" w:rsidRPr="00EA1CFF">
                    <w:trPr>
                      <w:jc w:val="right"/>
                    </w:trPr>
                    <w:tc>
                      <w:tcPr>
                        <w:tcW w:w="858" w:type="pct"/>
                      </w:tcPr>
                      <w:p w:rsidR="00060683" w:rsidRDefault="00060683">
                        <w:pPr>
                          <w:pStyle w:val="OCRStyle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329" w:type="pct"/>
                      </w:tcPr>
                      <w:p w:rsidR="00060683" w:rsidRDefault="0006068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351. (א) העובר עבירה של אינוס לפי סעיף 345(א) או של מעשה סדום לפי</w:t>
                        </w:r>
                      </w:p>
                      <w:p w:rsidR="00060683" w:rsidRDefault="0006068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סעיף 347(ב) באדם שהוא קטין, והוא בן משפחתו, דינו - מאסר עשרים שנים.</w:t>
                        </w:r>
                      </w:p>
                      <w:p w:rsidR="00060683" w:rsidRDefault="0006068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הבועל אישה שמלאו לה ארבע עשרה שנים וטרם מלאו לה עשרים</w:t>
                        </w:r>
                      </w:p>
                      <w:p w:rsidR="00060683" w:rsidRDefault="0006068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ואחת שנים או העושה מעשה סדום באדם שמלאו לו ארבע עשרה שנים וטרם</w:t>
                        </w:r>
                      </w:p>
                      <w:p w:rsidR="00060683" w:rsidRDefault="0006068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מלאו לו עשרים ואחת שנים, והוא בן משפחתם, דינו - מאסר שש עשרה שנים.</w:t>
                        </w:r>
                      </w:p>
                      <w:p w:rsidR="00060683" w:rsidRDefault="0006068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העושה מעשה מגונה באדם שהוא קטין והוא כן משפחתו, דינו -</w:t>
                        </w:r>
                      </w:p>
                      <w:p w:rsidR="00060683" w:rsidRDefault="0006068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בעבירה לפי סעיף 348(א) - מאסר עשר שנים:</w:t>
                        </w:r>
                      </w:p>
                      <w:p w:rsidR="00060683" w:rsidRDefault="0006068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בעבירה לפי סעיף 348(ב) - מאסר חמש עשרה שנים;</w:t>
                        </w:r>
                      </w:p>
                      <w:p w:rsidR="00060683" w:rsidRDefault="0006068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בכל מקרה שאינו בין המנויים בפיסקאות (1) ו-(2) - מאסר</w:t>
                        </w:r>
                      </w:p>
                      <w:p w:rsidR="00060683" w:rsidRDefault="0006068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חמש שנים.</w:t>
                        </w:r>
                      </w:p>
                      <w:p w:rsidR="00060683" w:rsidRDefault="0006068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העושה מעשה מגונה בפני אדם שהוא קטין, בכל מקום שהוא, והוא</w:t>
                        </w:r>
                      </w:p>
                      <w:p w:rsidR="00060683" w:rsidRDefault="0006068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בן משפחתו, דינו - מאסר ארבע שנים.</w:t>
                        </w:r>
                      </w:p>
                      <w:p w:rsidR="00060683" w:rsidRDefault="0006068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(ה) לענין סעיף זה -</w:t>
                        </w:r>
                      </w:p>
                      <w:p w:rsidR="00060683" w:rsidRDefault="0006068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"אח או אחות חורגים" - צאצא בן זוג של הורה, המתגורר עם מי שנעברה בו</w:t>
                        </w:r>
                      </w:p>
                      <w:p w:rsidR="00060683" w:rsidRDefault="0006068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עבירה לפי סימן זה;</w:t>
                        </w:r>
                      </w:p>
                    </w:tc>
                    <w:tc>
                      <w:tcPr>
                        <w:tcW w:w="813" w:type="pct"/>
                      </w:tcPr>
                      <w:p w:rsidR="00060683" w:rsidRDefault="0006068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"עבירות מין</w:t>
                        </w:r>
                      </w:p>
                      <w:p w:rsidR="00060683" w:rsidRPr="00EA1CFF" w:rsidRDefault="0006068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במשפחה</w:t>
                        </w:r>
                      </w:p>
                    </w:tc>
                  </w:tr>
                </w:tbl>
                <w:p w:rsidR="00060683" w:rsidRDefault="00060683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</w:p>
    <w:p w:rsidR="00060683" w:rsidRDefault="00060683">
      <w:pPr>
        <w:rPr>
          <w:rtl/>
        </w:rPr>
      </w:pPr>
      <w:r>
        <w:rPr>
          <w:rtl/>
        </w:rPr>
        <w:br w:type="page"/>
      </w:r>
    </w:p>
    <w:p w:rsidR="00060683" w:rsidRDefault="00000000">
      <w:pPr>
        <w:rPr>
          <w:rtl/>
        </w:rPr>
      </w:pPr>
      <w:r>
        <w:pict>
          <v:shape id="_x0000_s52729" o:spid="_x0000_s1032" type="#_x0000_t202" style="position:absolute;left:0;text-align:left;margin-left:50pt;margin-top:771.95pt;width:495.35pt;height:30pt;z-index:14;mso-position-horizontal-relative:page;mso-position-vertical-relative:page" stroked="f">
            <v:textbox style="mso-next-textbox:#_x0000_s52729" inset="0,0,0,0">
              <w:txbxContent>
                <w:p w:rsidR="00060683" w:rsidRDefault="00060683">
                  <w:r>
                    <w:rPr>
                      <w:rtl/>
                    </w:rPr>
                    <w:t>198                                         ספר החוקים 1329                     י"ט באב התש"נ 10.08.1990</w:t>
                  </w:r>
                </w:p>
              </w:txbxContent>
            </v:textbox>
            <w10:wrap anchorx="page" anchory="page"/>
          </v:shape>
        </w:pict>
      </w:r>
      <w:r>
        <w:pict>
          <v:shape id="_x0000_s52730" o:spid="_x0000_s1033" type="#_x0000_t202" style="position:absolute;left:0;text-align:left;margin-left:97.55pt;margin-top:428.1pt;width:406.3pt;height:192.65pt;z-index:13;mso-position-horizontal-relative:page;mso-position-vertical-relative:page" stroked="f">
            <v:textbox style="mso-next-textbox:#_x0000_s52730" inset="0,0,0,0">
              <w:txbxContent>
                <w:p w:rsidR="00060683" w:rsidRDefault="00060683">
                  <w:pPr>
                    <w:pStyle w:val="OCRStyle3"/>
                    <w:ind w:left="630"/>
                    <w:rPr>
                      <w:rtl/>
                    </w:rPr>
                  </w:pPr>
                  <w:r>
                    <w:rPr>
                      <w:rtl/>
                    </w:rPr>
                    <w:t>3 ס"ח התש"ך, עמ' 52.</w:t>
                  </w:r>
                </w:p>
                <w:p w:rsidR="00060683" w:rsidRPr="00060683" w:rsidRDefault="00060683">
                  <w:pPr>
                    <w:pStyle w:val="OCRStyle3"/>
                    <w:ind w:left="634"/>
                  </w:pPr>
                  <w:r>
                    <w:rPr>
                      <w:rtl/>
                    </w:rPr>
                    <w:t>* ס"ח התשמ"ד, עמ' 195: התשמ"ה, עמ' .138</w:t>
                  </w:r>
                </w:p>
              </w:txbxContent>
            </v:textbox>
            <w10:wrap anchorx="page" anchory="page"/>
          </v:shape>
        </w:pict>
      </w:r>
      <w:r>
        <w:pict>
          <v:shape id="_x0000_s52731" o:spid="_x0000_s1034" type="#_x0000_t202" style="position:absolute;left:0;text-align:left;margin-left:100.9pt;margin-top:346.3pt;width:72.25pt;height:33.65pt;z-index:12;mso-position-horizontal-relative:page;mso-position-vertical-relative:page" stroked="f">
            <v:textbox style="mso-next-textbox:#_x0000_s52731" inset="0,0,0,0">
              <w:txbxContent>
                <w:p w:rsidR="00060683" w:rsidRDefault="00060683">
                  <w:pPr>
                    <w:pStyle w:val="OCRStyle3"/>
                    <w:ind w:left="122"/>
                    <w:rPr>
                      <w:rtl/>
                    </w:rPr>
                  </w:pPr>
                  <w:r>
                    <w:rPr>
                      <w:rtl/>
                    </w:rPr>
                    <w:t>דן מרידור</w:t>
                  </w:r>
                </w:p>
                <w:p w:rsidR="00060683" w:rsidRDefault="00060683">
                  <w:pPr>
                    <w:pStyle w:val="OCRStyle3"/>
                    <w:ind w:left="79"/>
                  </w:pPr>
                  <w:r>
                    <w:rPr>
                      <w:rtl/>
                    </w:rPr>
                    <w:t>שר המשפטים</w:t>
                  </w:r>
                </w:p>
              </w:txbxContent>
            </v:textbox>
            <w10:wrap anchorx="page" anchory="page"/>
          </v:shape>
        </w:pict>
      </w:r>
      <w:r>
        <w:pict>
          <v:shape id="_x0000_s52732" o:spid="_x0000_s1035" type="#_x0000_t202" style="position:absolute;left:0;text-align:left;margin-left:189.6pt;margin-top:374.8pt;width:87.9pt;height:33.45pt;z-index:11;mso-position-horizontal-relative:page;mso-position-vertical-relative:page" stroked="f">
            <v:textbox style="mso-next-textbox:#_x0000_s52732" inset="0,0,0,0">
              <w:txbxContent>
                <w:p w:rsidR="00060683" w:rsidRDefault="00060683">
                  <w:pPr>
                    <w:pStyle w:val="OCRStyle3"/>
                    <w:ind w:left="241"/>
                    <w:rPr>
                      <w:rtl/>
                    </w:rPr>
                  </w:pPr>
                  <w:r>
                    <w:rPr>
                      <w:rtl/>
                    </w:rPr>
                    <w:t>דב שילנסקי</w:t>
                  </w:r>
                </w:p>
                <w:p w:rsidR="00060683" w:rsidRDefault="00060683">
                  <w:pPr>
                    <w:pStyle w:val="OCRStyle3"/>
                    <w:ind w:left="126"/>
                  </w:pPr>
                  <w:r>
                    <w:rPr>
                      <w:rtl/>
                    </w:rPr>
                    <w:t>יושב ראש הכנסת</w:t>
                  </w:r>
                </w:p>
              </w:txbxContent>
            </v:textbox>
            <w10:wrap anchorx="page" anchory="page"/>
          </v:shape>
        </w:pict>
      </w:r>
      <w:r>
        <w:pict>
          <v:shape id="_x0000_s52733" o:spid="_x0000_s1036" type="#_x0000_t202" style="position:absolute;left:0;text-align:left;margin-left:295.55pt;margin-top:347.3pt;width:72.25pt;height:36.05pt;z-index:10;mso-position-horizontal-relative:page;mso-position-vertical-relative:page" stroked="f">
            <v:textbox style="mso-next-textbox:#_x0000_s52733" inset="0,0,0,0">
              <w:txbxContent>
                <w:p w:rsidR="00060683" w:rsidRDefault="00060683">
                  <w:pPr>
                    <w:pStyle w:val="OCRStyle3"/>
                    <w:ind w:left="119"/>
                    <w:rPr>
                      <w:rtl/>
                    </w:rPr>
                  </w:pPr>
                  <w:r>
                    <w:rPr>
                      <w:rtl/>
                    </w:rPr>
                    <w:t>יצחק שמיר</w:t>
                  </w:r>
                </w:p>
                <w:p w:rsidR="00060683" w:rsidRDefault="00060683">
                  <w:pPr>
                    <w:pStyle w:val="OCRStyle3"/>
                    <w:ind w:left="108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52734" o:spid="_x0000_s1037" type="#_x0000_t202" style="position:absolute;left:0;text-align:left;margin-left:385.85pt;margin-top:374.8pt;width:79.2pt;height:35.25pt;z-index:9;mso-position-horizontal-relative:page;mso-position-vertical-relative:page" stroked="f">
            <v:textbox style="mso-next-textbox:#_x0000_s52734" inset="0,0,0,0">
              <w:txbxContent>
                <w:p w:rsidR="00060683" w:rsidRDefault="00060683">
                  <w:pPr>
                    <w:pStyle w:val="OCRStyle3"/>
                    <w:ind w:left="184"/>
                    <w:rPr>
                      <w:rtl/>
                    </w:rPr>
                  </w:pPr>
                  <w:r>
                    <w:rPr>
                      <w:rtl/>
                    </w:rPr>
                    <w:t>חיים הרצוג</w:t>
                  </w:r>
                </w:p>
                <w:p w:rsidR="00060683" w:rsidRDefault="00060683">
                  <w:pPr>
                    <w:pStyle w:val="OCRStyle3"/>
                    <w:ind w:left="234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52735" o:spid="_x0000_s1038" type="#_x0000_t202" style="position:absolute;left:0;text-align:left;margin-left:82.9pt;margin-top:63.15pt;width:477pt;height:279pt;z-index:8;mso-position-horizontal-relative:page;mso-position-vertical-relative:page" stroked="f">
            <v:textbox style="mso-next-textbox:#_x0000_s52735" inset="0,0,0,0">
              <w:txbxContent>
                <w:tbl>
                  <w:tblPr>
                    <w:tblW w:w="4438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5929"/>
                    <w:gridCol w:w="1228"/>
                    <w:gridCol w:w="1516"/>
                  </w:tblGrid>
                  <w:tr w:rsidR="00060683">
                    <w:trPr>
                      <w:jc w:val="right"/>
                    </w:trPr>
                    <w:tc>
                      <w:tcPr>
                        <w:tcW w:w="3418" w:type="pct"/>
                      </w:tcPr>
                      <w:p w:rsidR="00060683" w:rsidRDefault="00060683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"בן משפחה" -</w:t>
                        </w:r>
                      </w:p>
                      <w:p w:rsidR="00060683" w:rsidRDefault="00060683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הורה: בן זוגו של הורה אף אם אינו נשוי לו: סב או סבתא;</w:t>
                        </w:r>
                      </w:p>
                      <w:p w:rsidR="00060683" w:rsidRDefault="00060683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מי שמלאו לו חמש עשרה שנים והוא אחד מאלה: אח או אחות:</w:t>
                        </w:r>
                      </w:p>
                      <w:p w:rsidR="00060683" w:rsidRDefault="00060683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אח או אחות חורגים; דוד או דודה; גיס או גיסה. ואולם לענין עבירה</w:t>
                        </w:r>
                      </w:p>
                      <w:p w:rsidR="00060683" w:rsidRDefault="00060683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 בעילה אסורה לפי סעיף קטן (ב) או של מעשה מגונה לפי סעיף</w:t>
                        </w:r>
                      </w:p>
                      <w:p w:rsidR="00060683" w:rsidRDefault="00060683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קטן (ג30) שנעשו במי שמלאו לו שש עשרה שנים, לא ייכללו דוד</w:t>
                        </w:r>
                      </w:p>
                      <w:p w:rsidR="00060683" w:rsidRDefault="00060683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דודה, גיס או גיסה בהגדרת "בן משפחה".</w:t>
                        </w:r>
                      </w:p>
                    </w:tc>
                    <w:tc>
                      <w:tcPr>
                        <w:tcW w:w="708" w:type="pct"/>
                      </w:tcPr>
                      <w:p w:rsidR="00060683" w:rsidRDefault="00060683">
                        <w:pPr>
                          <w:pStyle w:val="OCRStyle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874" w:type="pct"/>
                      </w:tcPr>
                      <w:p w:rsidR="00060683" w:rsidRDefault="00060683">
                        <w:pPr>
                          <w:pStyle w:val="OCRStyle3"/>
                          <w:rPr>
                            <w:rtl/>
                          </w:rPr>
                        </w:pPr>
                      </w:p>
                    </w:tc>
                  </w:tr>
                  <w:tr w:rsidR="00060683" w:rsidRPr="00060683">
                    <w:trPr>
                      <w:jc w:val="right"/>
                    </w:trPr>
                    <w:tc>
                      <w:tcPr>
                        <w:tcW w:w="4126" w:type="pct"/>
                        <w:gridSpan w:val="2"/>
                      </w:tcPr>
                      <w:p w:rsidR="00060683" w:rsidRDefault="00060683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7. בסעיף 368ד(ז) לחוק העיקרי, בסופו יבוא: "אלא אם כן נדרשת פעולה מיידית שאינה</w:t>
                        </w:r>
                      </w:p>
                      <w:p w:rsidR="00060683" w:rsidRDefault="00060683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סובלת דיחוי; אין בפעולה מיידית כאמור כדי לשלול את חובת העברת המידע לפקיד סעד</w:t>
                        </w:r>
                      </w:p>
                      <w:p w:rsidR="00060683" w:rsidRDefault="00060683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וההתייעצות עמו לאחר מכן."</w:t>
                        </w:r>
                      </w:p>
                    </w:tc>
                    <w:tc>
                      <w:tcPr>
                        <w:tcW w:w="874" w:type="pct"/>
                      </w:tcPr>
                      <w:p w:rsidR="00060683" w:rsidRPr="00060683" w:rsidRDefault="00060683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368ד</w:t>
                        </w:r>
                      </w:p>
                    </w:tc>
                  </w:tr>
                  <w:tr w:rsidR="00060683" w:rsidRPr="00060683">
                    <w:trPr>
                      <w:jc w:val="right"/>
                    </w:trPr>
                    <w:tc>
                      <w:tcPr>
                        <w:tcW w:w="4126" w:type="pct"/>
                        <w:gridSpan w:val="2"/>
                      </w:tcPr>
                      <w:p w:rsidR="00060683" w:rsidRPr="00060683" w:rsidRDefault="00060683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8. בחוק הנוער (טיפול והשגחה), התש"ך-31960, אחרי סעיף 8 יבוא:</w:t>
                        </w:r>
                      </w:p>
                    </w:tc>
                    <w:tc>
                      <w:tcPr>
                        <w:tcW w:w="874" w:type="pct"/>
                        <w:vMerge w:val="restart"/>
                      </w:tcPr>
                      <w:p w:rsidR="00060683" w:rsidRDefault="00060683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חוק</w:t>
                        </w:r>
                      </w:p>
                      <w:p w:rsidR="00060683" w:rsidRDefault="00060683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דנוער (טיפול</w:t>
                        </w:r>
                      </w:p>
                      <w:p w:rsidR="00060683" w:rsidRPr="00060683" w:rsidRDefault="00060683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והשגחה)</w:t>
                        </w:r>
                      </w:p>
                    </w:tc>
                  </w:tr>
                  <w:tr w:rsidR="00060683">
                    <w:trPr>
                      <w:jc w:val="right"/>
                    </w:trPr>
                    <w:tc>
                      <w:tcPr>
                        <w:tcW w:w="3418" w:type="pct"/>
                      </w:tcPr>
                      <w:p w:rsidR="00060683" w:rsidRDefault="00060683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8א. הזמין בית המשפט אחראי על קטין להתייצב בפניו בהליך לפי חוק זה</w:t>
                        </w:r>
                      </w:p>
                      <w:p w:rsidR="00060683" w:rsidRDefault="00060683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והאחראי על הקטין לא התייצב, רשאי בית המשפט לצוות על הבאתו ויחולו</w:t>
                        </w:r>
                      </w:p>
                      <w:p w:rsidR="00060683" w:rsidRDefault="00060683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לענין זה סעיפים 73 עד 73ב לחוק בתי המשפט [נוסח משולב), התשמ"ד-</w:t>
                        </w:r>
                      </w:p>
                      <w:p w:rsidR="00060683" w:rsidRDefault="00060683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41984, בשינויים המחוייבים."</w:t>
                        </w:r>
                      </w:p>
                    </w:tc>
                    <w:tc>
                      <w:tcPr>
                        <w:tcW w:w="708" w:type="pct"/>
                      </w:tcPr>
                      <w:p w:rsidR="00060683" w:rsidRDefault="00060683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"הזמנת אחראי</w:t>
                        </w:r>
                      </w:p>
                      <w:p w:rsidR="00060683" w:rsidRPr="00060683" w:rsidRDefault="00060683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על קטין</w:t>
                        </w:r>
                      </w:p>
                    </w:tc>
                    <w:tc>
                      <w:tcPr>
                        <w:tcW w:w="874" w:type="pct"/>
                        <w:vMerge/>
                      </w:tcPr>
                      <w:p w:rsidR="00060683" w:rsidRDefault="00060683">
                        <w:pPr>
                          <w:pStyle w:val="OCRStyle3"/>
                          <w:rPr>
                            <w:rtl/>
                          </w:rPr>
                        </w:pPr>
                      </w:p>
                    </w:tc>
                  </w:tr>
                </w:tbl>
                <w:p w:rsidR="00060683" w:rsidRDefault="00060683">
                  <w:pPr>
                    <w:pStyle w:val="OCRStyle3"/>
                  </w:pP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2B7AAD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2B7AAD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1AA05068-3003-4260-B6EE-D5C3CAC873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2B7AAD"/>
    <w:rPr>
      <w:rFonts w:ascii="Arial" w:hAnsi="Arial" w:cs="Arial"/>
      <w:sz w:val="18"/>
      <w:szCs w:val="18"/>
    </w:rPr>
  </w:style>
  <w:style w:type="paragraph" w:customStyle="1" w:styleId="OCRStyle2">
    <w:name w:val="OCR Style #2"/>
    <w:basedOn w:val="a"/>
    <w:rsid w:val="00EA1CFF"/>
    <w:rPr>
      <w:rFonts w:ascii="Arial" w:hAnsi="Arial" w:cs="Arial"/>
      <w:sz w:val="18"/>
      <w:szCs w:val="18"/>
    </w:rPr>
  </w:style>
  <w:style w:type="paragraph" w:customStyle="1" w:styleId="OCRStyle3">
    <w:name w:val="OCR Style #3"/>
    <w:basedOn w:val="a"/>
    <w:rsid w:val="00060683"/>
    <w:rPr>
      <w:rFonts w:ascii="Arial" w:hAnsi="Arial" w:cs="Arial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</Words>
  <Characters>20</Characters>
  <Application>Microsoft Office Word</Application>
  <DocSecurity>4</DocSecurity>
  <Lines>1</Lines>
  <Paragraphs>1</Paragraphs>
  <ScaleCrop>false</ScaleCrop>
  <Company/>
  <LinksUpToDate>false</LinksUpToDate>
  <CharactersWithSpaces>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4</cp:revision>
  <dcterms:created xsi:type="dcterms:W3CDTF">2008-04-07T12:31:00Z</dcterms:created>
  <dcterms:modified xsi:type="dcterms:W3CDTF">2008-04-07T12:31:00Z</dcterms:modified>
</cp:coreProperties>
</file>