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29F5" w:rsidRDefault="000A29F5">
      <w:pPr>
        <w:rPr>
          <w:rtl/>
        </w:rPr>
      </w:pPr>
    </w:p>
    <w:p w:rsidR="000A29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9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964" inset="0,0,0,0">
              <w:txbxContent>
                <w:p w:rsidR="000A29F5" w:rsidRDefault="000A29F5">
                  <w:r>
                    <w:rPr>
                      <w:rtl/>
                    </w:rPr>
                    <w:t>76                                          ספר החוקים 1168                    ו' בשבט התשמ"ו 16.01.1986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5" o:spid="_x0000_s1026" type="#_x0000_t202" style="position:absolute;left:0;text-align:left;margin-left:95.8pt;margin-top:664.65pt;width:383.55pt;height:87.5pt;z-index:6;mso-wrap-style:none;mso-position-horizontal-relative:page;mso-position-vertical-relative:page" stroked="f">
            <v:textbox style="mso-next-textbox:#_x0000_s52965" inset="0,0,0,0">
              <w:txbxContent>
                <w:p w:rsidR="000A29F5" w:rsidRDefault="000A29F5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התשמ"ו (7 בינואר 1986); הצעת החוק ודברי הסבר פורסמו בה"ח 1749,</w:t>
                  </w:r>
                </w:p>
                <w:p w:rsidR="000A29F5" w:rsidRDefault="000A29F5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התשמ"ה, עמ' 270.</w:t>
                  </w:r>
                </w:p>
                <w:p w:rsidR="000A29F5" w:rsidRPr="000A29F5" w:rsidRDefault="000A29F5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1 דיני מדינת ישראל, נוסח חדש 32, עמ' 614.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6" o:spid="_x0000_s1027" type="#_x0000_t202" style="position:absolute;left:0;text-align:left;margin-left:108.05pt;margin-top:604.45pt;width:89.9pt;height:38pt;z-index:5;mso-wrap-style:none;mso-position-horizontal-relative:page;mso-position-vertical-relative:page" stroked="f">
            <v:textbox style="mso-next-textbox:#_x0000_s52966" inset="0,0,0,0">
              <w:txbxContent>
                <w:p w:rsidR="000A29F5" w:rsidRDefault="000A29F5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מרדכי גור</w:t>
                  </w:r>
                </w:p>
                <w:p w:rsidR="000A29F5" w:rsidRDefault="000A29F5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7" o:spid="_x0000_s1028" type="#_x0000_t202" style="position:absolute;left:0;text-align:left;margin-left:240.95pt;margin-top:602.85pt;width:93.25pt;height:32.1pt;z-index:4;mso-wrap-style:none;mso-position-horizontal-relative:page;mso-position-vertical-relative:page" stroked="f">
            <v:textbox style="mso-next-textbox:#_x0000_s52967" inset="0,0,0,0">
              <w:txbxContent>
                <w:p w:rsidR="000A29F5" w:rsidRDefault="000A29F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A29F5" w:rsidRDefault="000A29F5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8" o:spid="_x0000_s1029" type="#_x0000_t202" style="position:absolute;left:0;text-align:left;margin-left:389.45pt;margin-top:626.05pt;width:91.65pt;height:37.8pt;z-index:3;mso-wrap-style:none;mso-position-horizontal-relative:page;mso-position-vertical-relative:page" stroked="f">
            <v:textbox style="mso-next-textbox:#_x0000_s52968" inset="0,0,0,0">
              <w:txbxContent>
                <w:p w:rsidR="000A29F5" w:rsidRDefault="000A29F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A29F5" w:rsidRDefault="000A29F5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69" o:spid="_x0000_s1030" type="#_x0000_t202" style="position:absolute;left:0;text-align:left;margin-left:101.55pt;margin-top:113.6pt;width:456.2pt;height:486.9pt;z-index:2;mso-wrap-style:none;mso-position-horizontal-relative:page;mso-position-vertical-relative:page" stroked="f">
            <v:textbox style="mso-next-textbox:#_x0000_s52969" inset="0,0,0,0">
              <w:txbxContent>
                <w:tbl>
                  <w:tblPr>
                    <w:tblW w:w="48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6"/>
                    <w:gridCol w:w="1243"/>
                    <w:gridCol w:w="1137"/>
                  </w:tblGrid>
                  <w:tr w:rsidR="000A29F5" w:rsidRPr="000A29F5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0A29F5" w:rsidRDefault="000A29F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3 לפקודת רופאי השיניים [נוסח חדש], התשל"ט-1979 1 (להלן -</w:t>
                        </w:r>
                      </w:p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יבוא: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סעיף3א</w:t>
                        </w:r>
                      </w:p>
                    </w:tc>
                  </w:tr>
                  <w:tr w:rsidR="000A29F5">
                    <w:trPr>
                      <w:jc w:val="right"/>
                    </w:trPr>
                    <w:tc>
                      <w:tcPr>
                        <w:tcW w:w="3566" w:type="pct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האמור בסעיף 3 אינו בא למנוע מבית-חולים, מקופת-חולים,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מקומית או מתאגיד אחר, לפתוח, להחזיק או לנהל מרפאת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שבה עוסקים בריפוי שיניים אנשים המורשים לכך לפי פקודה זו,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שנתקבל לגביה רשיון מאת המנהל אם לא הופטרה מכר בתקנות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(ב); המרפאה תהיה בהשגחתו ותחת פיקוחו של רופא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אחראי.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והרווחה של הכנסת, רשאי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לגבי מרפאות כאמור בסעיף קטן (א), דרך כלל או לגבי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מהן, הוראות בדבר -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התנאים שיש לקיים במרפאות כדי להבטיח מתן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ריפוי שיניים ברמה נאותה;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רופא שיניים אחראי למרפאה וקיום נוהלים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להעסקת עוזרים מקצועיים ושינניות;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תקופת תקפו של הרשיון והנסיבות שבהן ניתן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לבטלו;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מרפאות שיהיו פטורות מחובת רשיון;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הפיקוח שיקיים המנהל על המרפאות;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ניהול רשומות ודרכי דיווח למנהל;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האגרות שישולמו בעד קבלת רשיון ובעד חידושו.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באות להוסיף על כל דין ולא לגתע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'ימרפאות של</w:t>
                        </w:r>
                      </w:p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</w:t>
                        </w:r>
                      </w:p>
                    </w:tc>
                    <w:tc>
                      <w:tcPr>
                        <w:tcW w:w="685" w:type="pct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A29F5" w:rsidRPr="000A29F5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40 לפקודה יבוא: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</w:tc>
                  </w:tr>
                  <w:tr w:rsidR="000A29F5" w:rsidRPr="000A29F5">
                    <w:trPr>
                      <w:jc w:val="right"/>
                    </w:trPr>
                    <w:tc>
                      <w:tcPr>
                        <w:tcW w:w="3566" w:type="pct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הוראות סעיפים 38 עד 40 יחולו, בשינויים המחוייבים, לגבי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כאמור בסעיף 3א המחזיקים או המנהלים מרפאת שיניים."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פרסום</w:t>
                        </w:r>
                      </w:p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לתאגידים</w:t>
                        </w:r>
                      </w:p>
                    </w:tc>
                    <w:tc>
                      <w:tcPr>
                        <w:tcW w:w="685" w:type="pct"/>
                      </w:tcPr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40א</w:t>
                        </w:r>
                      </w:p>
                    </w:tc>
                  </w:tr>
                  <w:tr w:rsidR="000A29F5" w:rsidRPr="000A29F5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תאגיד שהחזיק או ניהל מרפאת שיניים לפחות חדשיים עובר לתחילתו של חוק זה,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להמשיך ולהחזיקה או לנהלה כל עוד לא הותקנו תקנות לפי סעיף 3א (ב) לפקודה ;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הותקנו תקנות כאמור, והמרפאה לא הופטרה מקבלת רשיון, רשאי הוא להמשיך ולהחזיקה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לנהלה עד לקבלת החלטה בבקשתו לרשיון, ובלבד שהגיש את בקשתו תוך שלשה</w:t>
                        </w:r>
                      </w:p>
                      <w:p w:rsid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תחילתן של התקנות; לא הגיש בקשה כאמור - יהיה חייב לחדול מלהחזיקה</w:t>
                        </w:r>
                      </w:p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לנהלה בתום המועד האמור.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0A29F5" w:rsidRPr="000A29F5" w:rsidRDefault="000A29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0A29F5" w:rsidRDefault="000A29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970" o:spid="_x0000_s1031" type="#_x0000_t202" style="position:absolute;left:0;text-align:left;margin-left:165.9pt;margin-top:74pt;width:266.5pt;height:37.2pt;z-index:1;mso-wrap-style:none;mso-position-horizontal-relative:page;mso-position-vertical-relative:page" stroked="f">
            <v:textbox style="mso-next-textbox:#_x0000_s52970" inset="0,0,0,0">
              <w:txbxContent>
                <w:p w:rsidR="000A29F5" w:rsidRPr="000A29F5" w:rsidRDefault="000A29F5">
                  <w:pPr>
                    <w:pStyle w:val="OCRStyle1"/>
                    <w:ind w:left="12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רופאי השיניים,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29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B2E41B-5A31-4B51-BF1F-55688361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29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2008-04-07T02:20:00Z</dcterms:created>
  <dcterms:modified xsi:type="dcterms:W3CDTF">2008-04-07T02:20:00Z</dcterms:modified>
</cp:coreProperties>
</file>