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50480" w:rsidRDefault="00650480">
      <w:pPr>
        <w:rPr>
          <w:rtl/>
        </w:rPr>
      </w:pPr>
    </w:p>
    <w:p w:rsidR="0065048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313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3139" inset="0,0,0,0">
              <w:txbxContent>
                <w:p w:rsidR="007C1924" w:rsidRDefault="007C1924">
                  <w:r>
                    <w:rPr>
                      <w:rtl/>
                    </w:rPr>
                    <w:t>88                                           ספר החוקים 150                  י"א בניסן התשי"ד 14.04.1954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53140" o:spid="_x0000_s1026" type="#_x0000_t202" style="position:absolute;left:0;text-align:left;margin-left:65.95pt;margin-top:731.25pt;width:418.95pt;height:66.15pt;z-index:3;mso-position-horizontal-relative:page;mso-position-vertical-relative:page" stroked="f">
            <v:textbox style="mso-next-textbox:#_x0000_s53140" inset="0,0,0,0">
              <w:txbxContent>
                <w:p w:rsidR="007C1924" w:rsidRDefault="007C1924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ד' בניסן תשי"ד (7 באפריל 1954) ; הצעת החוק ודברי הסבר נתפרסמו בה"ח</w:t>
                  </w:r>
                </w:p>
                <w:p w:rsidR="007C1924" w:rsidRDefault="007C1924">
                  <w:pPr>
                    <w:pStyle w:val="OCRStyle1"/>
                    <w:ind w:left="49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147,תשי"ג עמ' 85.</w:t>
                  </w:r>
                </w:p>
                <w:p w:rsidR="007C1924" w:rsidRPr="00650480" w:rsidRDefault="007C1924">
                  <w:pPr>
                    <w:pStyle w:val="OCRStyle1"/>
                    <w:ind w:left="33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25, תש"ט, עמ' .278</w:t>
                  </w:r>
                </w:p>
              </w:txbxContent>
            </v:textbox>
            <w10:wrap anchorx="page" anchory="page"/>
          </v:shape>
        </w:pict>
      </w:r>
      <w:r>
        <w:pict>
          <v:shape id="_x0000_s53141" o:spid="_x0000_s1027" type="#_x0000_t202" style="position:absolute;left:0;text-align:left;margin-left:64.2pt;margin-top:653.45pt;width:507.85pt;height:76.05pt;z-index:2;mso-position-horizontal-relative:page;mso-position-vertical-relative:page" stroked="f">
            <v:textbox style="mso-next-textbox:#_x0000_s53141" inset="0,0,0,0">
              <w:txbxContent>
                <w:tbl>
                  <w:tblPr>
                    <w:tblW w:w="444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983"/>
                    <w:gridCol w:w="1252"/>
                  </w:tblGrid>
                  <w:tr w:rsidR="007C1924" w:rsidRPr="00650480">
                    <w:trPr>
                      <w:jc w:val="right"/>
                    </w:trPr>
                    <w:tc>
                      <w:tcPr>
                        <w:tcW w:w="4322" w:type="pct"/>
                      </w:tcPr>
                      <w:p w:rsidR="007C1924" w:rsidRDefault="007C1924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1, ההגדרה "שירות צבאי" שבסעיף 1 לחוק הנכים (תגמולים ושיקום), תש"ט-11949</w:t>
                        </w:r>
                      </w:p>
                      <w:p w:rsidR="007C1924" w:rsidRDefault="007C1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החוק העיקרי), תתוקן על ידי הוספת פסקה זו לאחר פסקה (ב):</w:t>
                        </w:r>
                      </w:p>
                      <w:p w:rsidR="007C1924" w:rsidRDefault="007C1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לגבי התקופה שעד יום י"ז בכסלו תש"ח (30 בנובמבר 1947) - שירות</w:t>
                        </w:r>
                      </w:p>
                      <w:p w:rsidR="007C1924" w:rsidRPr="00650480" w:rsidRDefault="007C19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פעיל ביחידה לוחמת של ארגון ההגנה בארץ ישראל וכל שירות אחר בארץ</w:t>
                        </w:r>
                      </w:p>
                    </w:tc>
                    <w:tc>
                      <w:tcPr>
                        <w:tcW w:w="678" w:type="pct"/>
                      </w:tcPr>
                      <w:p w:rsidR="007C1924" w:rsidRDefault="007C192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7C1924" w:rsidRPr="00650480" w:rsidRDefault="007C192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</w:t>
                        </w:r>
                      </w:p>
                    </w:tc>
                  </w:tr>
                </w:tbl>
                <w:p w:rsidR="007C1924" w:rsidRDefault="007C192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142" o:spid="_x0000_s1028" type="#_x0000_t202" style="position:absolute;left:0;text-align:left;margin-left:113.7pt;margin-top:617.6pt;width:353.85pt;height:26.55pt;z-index:1;mso-position-horizontal-relative:page;mso-position-vertical-relative:page" stroked="f">
            <v:textbox style="mso-next-textbox:#_x0000_s53142" inset="0,0,0,0">
              <w:txbxContent>
                <w:p w:rsidR="007C1924" w:rsidRPr="00650480" w:rsidRDefault="007C1924">
                  <w:pPr>
                    <w:pStyle w:val="OCRStyle1"/>
                    <w:ind w:left="436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הנכים (תגמולים ושיקום) (תיקון), תשי"ד-1954 *</w:t>
                  </w:r>
                </w:p>
              </w:txbxContent>
            </v:textbox>
            <w10:wrap anchorx="page" anchory="page"/>
          </v:shape>
        </w:pict>
      </w:r>
    </w:p>
    <w:p w:rsidR="00DE62C2" w:rsidRDefault="00DE62C2">
      <w:pPr>
        <w:rPr>
          <w:rtl/>
        </w:rPr>
      </w:pPr>
      <w:r>
        <w:rPr>
          <w:rtl/>
        </w:rPr>
        <w:br w:type="page"/>
      </w:r>
    </w:p>
    <w:p w:rsidR="00DE62C2" w:rsidRDefault="00000000">
      <w:pPr>
        <w:rPr>
          <w:rtl/>
        </w:rPr>
      </w:pPr>
      <w:r>
        <w:pict>
          <v:shape id="_x0000_s53143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53143" inset="0,0,0,0">
              <w:txbxContent>
                <w:p w:rsidR="007C1924" w:rsidRDefault="007C1924">
                  <w:r>
                    <w:rPr>
                      <w:rtl/>
                    </w:rPr>
                    <w:t>89                                           ספר החוקים 150                  י"א בניסן התשי"ד 14.04.1954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53144" o:spid="_x0000_s1030" type="#_x0000_t202" style="position:absolute;left:0;text-align:left;margin-left:175.95pt;margin-top:528.25pt;width:89.7pt;height:37.05pt;z-index:8;mso-position-horizontal-relative:page;mso-position-vertical-relative:page" stroked="f">
            <v:textbox style="mso-next-textbox:#_x0000_s53144" inset="0,0,0,0">
              <w:txbxContent>
                <w:p w:rsidR="007C1924" w:rsidRDefault="007C1924">
                  <w:pPr>
                    <w:pStyle w:val="OCRStyle2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פנחס לבון</w:t>
                  </w:r>
                </w:p>
                <w:p w:rsidR="007C1924" w:rsidRDefault="007C1924">
                  <w:pPr>
                    <w:pStyle w:val="OCRStyle2"/>
                    <w:ind w:left="382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53145" o:spid="_x0000_s1031" type="#_x0000_t202" style="position:absolute;left:0;text-align:left;margin-left:325.05pt;margin-top:527.25pt;width:86.9pt;height:38.8pt;z-index:7;mso-position-horizontal-relative:page;mso-position-vertical-relative:page" stroked="f">
            <v:textbox style="mso-next-textbox:#_x0000_s53145" inset="0,0,0,0">
              <w:txbxContent>
                <w:p w:rsidR="007C1924" w:rsidRDefault="007C1924">
                  <w:pPr>
                    <w:pStyle w:val="OCRStyle2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7C1924" w:rsidRDefault="007C1924">
                  <w:pPr>
                    <w:pStyle w:val="OCRStyle2"/>
                    <w:ind w:left="17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146" o:spid="_x0000_s1032" type="#_x0000_t202" style="position:absolute;left:0;text-align:left;margin-left:433.35pt;margin-top:562.7pt;width:118.8pt;height:42.15pt;z-index:6;mso-position-horizontal-relative:page;mso-position-vertical-relative:page" stroked="f">
            <v:textbox style="mso-next-textbox:#_x0000_s53146" inset="0,0,0,0">
              <w:txbxContent>
                <w:p w:rsidR="007C1924" w:rsidRDefault="007C1924">
                  <w:pPr>
                    <w:pStyle w:val="OCRStyle2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יצחק ב ן- צ ב י</w:t>
                  </w:r>
                </w:p>
                <w:p w:rsidR="007C1924" w:rsidRDefault="007C1924">
                  <w:pPr>
                    <w:pStyle w:val="OCRStyle2"/>
                    <w:ind w:left="53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147" o:spid="_x0000_s1033" type="#_x0000_t202" style="position:absolute;left:0;text-align:left;margin-left:72.8pt;margin-top:57.2pt;width:495.8pt;height:466.7pt;z-index:5;mso-position-horizontal-relative:page;mso-position-vertical-relative:page" stroked="f">
            <v:textbox style="mso-next-textbox:#_x0000_s53147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88"/>
                    <w:gridCol w:w="5937"/>
                    <w:gridCol w:w="1590"/>
                  </w:tblGrid>
                  <w:tr w:rsidR="007C1924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7C1924" w:rsidRDefault="007C192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75" w:type="pct"/>
                        <w:gridSpan w:val="2"/>
                      </w:tcPr>
                      <w:p w:rsidR="007C1924" w:rsidRDefault="007C19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ששר הבטחון הכריז עליו, באכרזה שפורסמה ברשומות, כשירות צבאי</w:t>
                        </w:r>
                      </w:p>
                      <w:p w:rsidR="007C1924" w:rsidRDefault="007C19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לצורך חוק זה."</w:t>
                        </w:r>
                      </w:p>
                    </w:tc>
                  </w:tr>
                  <w:tr w:rsidR="007C1924" w:rsidRPr="00DE62C2">
                    <w:trPr>
                      <w:jc w:val="right"/>
                    </w:trPr>
                    <w:tc>
                      <w:tcPr>
                        <w:tcW w:w="825" w:type="pct"/>
                        <w:vMerge w:val="restart"/>
                      </w:tcPr>
                      <w:p w:rsidR="007C1924" w:rsidRDefault="007C192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 ספת</w:t>
                        </w:r>
                      </w:p>
                      <w:p w:rsidR="007C1924" w:rsidRPr="00DE62C2" w:rsidRDefault="007C192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 יף 28א</w:t>
                        </w:r>
                      </w:p>
                    </w:tc>
                    <w:tc>
                      <w:tcPr>
                        <w:tcW w:w="4175" w:type="pct"/>
                        <w:gridSpan w:val="2"/>
                      </w:tcPr>
                      <w:p w:rsidR="007C1924" w:rsidRPr="00DE62C2" w:rsidRDefault="007C19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אחרי מעיף 28 לחוק העיקרי יווסף סעיף זה:</w:t>
                        </w:r>
                      </w:p>
                    </w:tc>
                  </w:tr>
                  <w:tr w:rsidR="007C1924" w:rsidRPr="00DE62C2">
                    <w:trPr>
                      <w:jc w:val="right"/>
                    </w:trPr>
                    <w:tc>
                      <w:tcPr>
                        <w:tcW w:w="825" w:type="pct"/>
                        <w:vMerge/>
                      </w:tcPr>
                      <w:p w:rsidR="007C1924" w:rsidRDefault="007C192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93" w:type="pct"/>
                      </w:tcPr>
                      <w:p w:rsidR="007C1924" w:rsidRDefault="007C19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28א. מי ששירת, על פי קריאת המוסדות הלאומיים בארץ ישראל, ביחידה</w:t>
                        </w:r>
                      </w:p>
                      <w:p w:rsidR="007C1924" w:rsidRDefault="007C19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צבאות הממלכה המאוחדת של בריטניה הגדולה ואירלנד הצפונית</w:t>
                        </w:r>
                      </w:p>
                      <w:p w:rsidR="007C1924" w:rsidRDefault="007C19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והוכיח' כי הרשות המוסמכת לכך באותה ממלכה קבעה שהוא לקה בנכות</w:t>
                        </w:r>
                      </w:p>
                      <w:p w:rsidR="007C1924" w:rsidRDefault="007C19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בתקופת שירות זה עקב שירות זה, יהיה דינו לענין מיליות/ סמל הנכים,</w:t>
                        </w:r>
                      </w:p>
                      <w:p w:rsidR="007C1924" w:rsidRDefault="007C19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טיפול רפואי ושיקום כדין נכה שדרגת נכותו היא כדרגת הנכות שתיקבע</w:t>
                        </w:r>
                      </w:p>
                      <w:p w:rsidR="007C1924" w:rsidRDefault="007C19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מדי פעם בפעם על ידי אותה רשות וששירותו הוא שירות צבאי כמש-</w:t>
                        </w:r>
                      </w:p>
                      <w:p w:rsidR="007C1924" w:rsidRDefault="007C19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מעותו בחוק זה."</w:t>
                        </w:r>
                      </w:p>
                    </w:tc>
                    <w:tc>
                      <w:tcPr>
                        <w:tcW w:w="882" w:type="pct"/>
                      </w:tcPr>
                      <w:p w:rsidR="007C1924" w:rsidRDefault="007C19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"נכים ממתנדבי</w:t>
                        </w:r>
                      </w:p>
                      <w:p w:rsidR="007C1924" w:rsidRPr="00DE62C2" w:rsidRDefault="007C19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הישוב</w:t>
                        </w:r>
                      </w:p>
                    </w:tc>
                  </w:tr>
                  <w:tr w:rsidR="007C1924" w:rsidRPr="00DE62C2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7C1924" w:rsidRPr="00DE62C2" w:rsidRDefault="007C192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תיאום</w:t>
                        </w:r>
                      </w:p>
                    </w:tc>
                    <w:tc>
                      <w:tcPr>
                        <w:tcW w:w="4175" w:type="pct"/>
                        <w:gridSpan w:val="2"/>
                      </w:tcPr>
                      <w:p w:rsidR="007C1924" w:rsidRDefault="007C192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על אף האמור בחוק העיקרי -</w:t>
                        </w:r>
                      </w:p>
                      <w:p w:rsidR="007C1924" w:rsidRDefault="007C19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יחולו לגבי מי שהוכר כנכה בתוקף סעיף 1 לחוק זה הוראות סעיף 4</w:t>
                        </w:r>
                      </w:p>
                      <w:p w:rsidR="007C1924" w:rsidRDefault="007C19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החוק העיקרי;</w:t>
                        </w:r>
                      </w:p>
                      <w:p w:rsidR="007C1924" w:rsidRDefault="007C19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תתיישן זכותו של נכה כאמור להגיש בקשה לתגמול, אלא כתום שנה</w:t>
                        </w:r>
                      </w:p>
                      <w:p w:rsidR="007C1924" w:rsidRDefault="007C19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תחילת תקפו של חוק זה;</w:t>
                        </w:r>
                      </w:p>
                      <w:p w:rsidR="007C1924" w:rsidRDefault="007C19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ייקבע לנכה זה כתאריך להתחלת תשלום התגמולים מועד מוקדם</w:t>
                        </w:r>
                      </w:p>
                      <w:p w:rsidR="007C1924" w:rsidRDefault="007C19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מתחילת תקפו של חוק זה;</w:t>
                        </w:r>
                      </w:p>
                      <w:p w:rsidR="007C1924" w:rsidRDefault="007C19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יחולו על נכים שחוק זה חל לגביהם הוראות נוספות ששר הבטחון יקבע</w:t>
                        </w:r>
                      </w:p>
                      <w:p w:rsidR="007C1924" w:rsidRPr="00DE62C2" w:rsidRDefault="007C19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כנחוצות לשם התאמתו של החוק העיקרי לענין נכים אלה.</w:t>
                        </w:r>
                      </w:p>
                    </w:tc>
                  </w:tr>
                  <w:tr w:rsidR="007C1924" w:rsidRPr="00DE62C2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7C1924" w:rsidRPr="00DE62C2" w:rsidRDefault="007C192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 ישנות</w:t>
                        </w:r>
                      </w:p>
                    </w:tc>
                    <w:tc>
                      <w:tcPr>
                        <w:tcW w:w="4175" w:type="pct"/>
                        <w:gridSpan w:val="2"/>
                      </w:tcPr>
                      <w:p w:rsidR="007C1924" w:rsidRDefault="007C192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הזכות להגיש בקשה לקצין תגמולים כדי להוכיח, שנתמלאו התנאים האמורים</w:t>
                        </w:r>
                      </w:p>
                      <w:p w:rsidR="007C1924" w:rsidRDefault="007C19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28א לחוק העיקרי תתיישן תוך ששה חדשים מיום הקביעה האמורה באותו סעיף,</w:t>
                        </w:r>
                      </w:p>
                      <w:p w:rsidR="007C1924" w:rsidRPr="00DE62C2" w:rsidRDefault="007C19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תוך שנה מיום תחילת תקפו של חוק זה, הכל לפי התאריך המאוחר יותר.</w:t>
                        </w:r>
                      </w:p>
                    </w:tc>
                  </w:tr>
                  <w:tr w:rsidR="007C1924" w:rsidRPr="00DE62C2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7C1924" w:rsidRPr="00DE62C2" w:rsidRDefault="007C192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175" w:type="pct"/>
                        <w:gridSpan w:val="2"/>
                      </w:tcPr>
                      <w:p w:rsidR="007C1924" w:rsidRDefault="007C192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שר הבטחון ממונה על ביצועו של חוק זה והוא רשאי להתקין תקנות בכל ענין הנוגע</w:t>
                        </w:r>
                      </w:p>
                      <w:p w:rsidR="007C1924" w:rsidRPr="00DE62C2" w:rsidRDefault="007C19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</w:tc>
                  </w:tr>
                </w:tbl>
                <w:p w:rsidR="007C1924" w:rsidRDefault="007C192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7C1924" w:rsidRDefault="007C1924">
      <w:pPr>
        <w:rPr>
          <w:rtl/>
        </w:rPr>
      </w:pPr>
      <w:r>
        <w:rPr>
          <w:rtl/>
        </w:rPr>
        <w:br w:type="page"/>
      </w:r>
    </w:p>
    <w:p w:rsidR="007C1924" w:rsidRDefault="00000000">
      <w:pPr>
        <w:rPr>
          <w:rtl/>
        </w:rPr>
      </w:pPr>
      <w:r>
        <w:pict>
          <v:shape id="_x0000_s53148" o:spid="_x0000_s1034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53148" inset="0,0,0,0">
              <w:txbxContent>
                <w:p w:rsidR="007C1924" w:rsidRDefault="007C1924">
                  <w:r>
                    <w:rPr>
                      <w:rtl/>
                    </w:rPr>
                    <w:t>90                                           ספר החוקים 150                  י"א בניסן התשי"ד 14.04.1954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53149" o:spid="_x0000_s1035" type="#_x0000_t202" style="position:absolute;left:0;text-align:left;margin-left:77pt;margin-top:790.95pt;width:137.6pt;height:16.85pt;z-index:10;mso-position-horizontal-relative:page;mso-position-vertical-relative:page" stroked="f">
            <v:textbox style="mso-next-textbox:#_x0000_s53149" inset="0,0,0,0">
              <w:txbxContent>
                <w:p w:rsidR="007C1924" w:rsidRDefault="007C192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5048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5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E972BB3-301F-430B-81C8-F07FD617D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50480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DE62C2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7C192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17</Characters>
  <Application>Microsoft Office Word</Application>
  <DocSecurity>4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2008-04-06T18:41:00Z</dcterms:created>
  <dcterms:modified xsi:type="dcterms:W3CDTF">2008-04-06T18:42:00Z</dcterms:modified>
</cp:coreProperties>
</file>