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3208" w:rsidRDefault="00FC3208">
      <w:pPr>
        <w:rPr>
          <w:rtl/>
        </w:rPr>
      </w:pPr>
    </w:p>
    <w:p w:rsidR="00FC32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0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204" inset="0,0,0,0">
              <w:txbxContent>
                <w:p w:rsidR="00FC3208" w:rsidRDefault="00FC3208">
                  <w:r>
                    <w:rPr>
                      <w:rtl/>
                    </w:rPr>
                    <w:t>150                                         ספר החוקים 1391                 כ' באדר ב' התשנ"ב 25.03.1992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5" o:spid="_x0000_s1026" type="#_x0000_t202" style="position:absolute;left:0;text-align:left;margin-left:77.45pt;margin-top:681.15pt;width:393.25pt;height:71.5pt;z-index:6;mso-position-horizontal-relative:page;mso-position-vertical-relative:page" stroked="f">
            <v:textbox style="mso-next-textbox:#_x0000_s53205" inset="0,0,0,0">
              <w:txbxContent>
                <w:p w:rsidR="00FC3208" w:rsidRDefault="00FC320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ב' התשנ"ב (17 במרס 1992): הצעת החוק ודברי הסבר פורסמו בהצעות חוק 2086, מיום ר</w:t>
                  </w:r>
                </w:p>
                <w:p w:rsidR="00FC3208" w:rsidRDefault="00FC3208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(13 בנובמבר 1991), בעמ' 60.</w:t>
                  </w:r>
                </w:p>
                <w:p w:rsidR="00FC3208" w:rsidRPr="00FC3208" w:rsidRDefault="00FC3208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1 ע"ר מס' 2, התש"ח, עמ' 1; ס''ח התשמ''א, עמ' 306.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6" o:spid="_x0000_s1027" type="#_x0000_t202" style="position:absolute;left:0;text-align:left;margin-left:88.55pt;margin-top:628.65pt;width:109.3pt;height:38.6pt;z-index:5;mso-position-horizontal-relative:page;mso-position-vertical-relative:page" stroked="f">
            <v:textbox style="mso-next-textbox:#_x0000_s53206" inset="0,0,0,0">
              <w:txbxContent>
                <w:p w:rsidR="00FC3208" w:rsidRDefault="00FC320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C3208" w:rsidRDefault="00FC3208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7" o:spid="_x0000_s1028" type="#_x0000_t202" style="position:absolute;left:0;text-align:left;margin-left:220.2pt;margin-top:601.95pt;width:93.05pt;height:38.8pt;z-index:4;mso-position-horizontal-relative:page;mso-position-vertical-relative:page" stroked="f">
            <v:textbox style="mso-next-textbox:#_x0000_s53207" inset="0,0,0,0">
              <w:txbxContent>
                <w:p w:rsidR="00FC3208" w:rsidRDefault="00FC320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C3208" w:rsidRDefault="00FC3208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8" o:spid="_x0000_s1029" type="#_x0000_t202" style="position:absolute;left:0;text-align:left;margin-left:334.85pt;margin-top:632pt;width:105.75pt;height:34.45pt;z-index:3;mso-position-horizontal-relative:page;mso-position-vertical-relative:page" stroked="f">
            <v:textbox style="mso-next-textbox:#_x0000_s53208" inset="0,0,0,0">
              <w:txbxContent>
                <w:p w:rsidR="00FC3208" w:rsidRDefault="00FC3208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C3208" w:rsidRDefault="00FC3208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09" o:spid="_x0000_s1030" type="#_x0000_t202" style="position:absolute;left:0;text-align:left;margin-left:75.65pt;margin-top:103.55pt;width:469.05pt;height:495pt;z-index:2;mso-position-horizontal-relative:page;mso-position-vertical-relative:page" stroked="f">
            <v:textbox style="mso-next-textbox:#_x0000_s532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5"/>
                    <w:gridCol w:w="1375"/>
                  </w:tblGrid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חוק-יסוד זה, מטרתו להגן על כבוד האדם וחירותו, כדי לעגן בחוק-יסוד את ערכיה של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כמדינה יהודית ודמוקרטית.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אין פוגעים בחייו, בגופו, או בכבודו של אדם באשר הוא אדם.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החיים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הגוף, והכבוד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פוגעים בקנינו של אדם.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הקנין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אדם זכאי להגנה על חייו, על גופו ועל כבודו.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החיים,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והכבוד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אין נוטלים ואין מגבילים את חירותו של אדם במאסר, במעצר, בהסגרה או בכל דדך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 אישית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כל אדם חופשי לצאת מישראל.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אזרח ישראלי הנמצא בחוץ לארץ זכאי להיכנס לישראל.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מישראל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וכניסה אליה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כל אדם זכאי לפרטיות ולצנעת חייו.</w:t>
                        </w:r>
                      </w:p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נכנסים לרשות היחיד של אדם שלא בהסכמתו.</w:t>
                        </w:r>
                      </w:p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עורכים חיפוש ברשות היחיד של אדם, על גופו, בגופו או בכליו.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פוגעים בסוד שיחו של אדם, בכתביו או ברשומותיו.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פרסיות וצנעת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אין פוגעים בזכויות שלפי חוק-יסוד זה אלא בחוק ההולם את ערכיה של מדינת ישראל,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 לתכלית ראויה, ובמידה שאינה עולה על הנדרש.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בזכויות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אין מגבילים זכויות שלפי חוק-יסוד זה של המשרתים בצבא-הגנה לישראל, במשטרת</w:t>
                        </w:r>
                      </w:p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בשירות בתי הסוהר ובארגוני הבטחון האחרים של המדינה, ואין מתנים על זכויות אלה,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לפי חוק ובמידה שאינה עולה על הנדרש ממהותו ומאופיו של השירות.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לגבי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כוחות הבטחון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אין בחוק-יסוד זה כדי לפגוע בתקפו של דין שהיה קיים ערב תחילתו של חוק-היסוד.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כל רשות מרשויות השלטון חייבת לכבד את הזכויות שלפי חוק-יסוד זה.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FC3208" w:rsidRPr="00FC320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אין בכוחן של תקנות שעת-חירום לשנות חוק-יסוד זה, להפקיע זמנית את תקפו או לקבוע</w:t>
                        </w:r>
                      </w:p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תנאים; ואולם בשעה שקיים במדינה מצב של חירום בתוקף הכרזה לפי סעיף 9 לפקודת סדרי</w:t>
                        </w:r>
                      </w:p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והמשפט, התש"ח-1948 1,מותר להתקין תקנות שעת-חירום מכוח הסעיף האמור שיה*</w:t>
                        </w:r>
                      </w:p>
                      <w:p w:rsid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כדי לשלול או להגביל זכויות לפי חוק-יסוד זה, ובלבד שהשלילה או ההגבלה יהיו לתכלית</w:t>
                        </w:r>
                      </w:p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ראויה ולתקופה ובמידה שלא יעלו על הנדרש.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FC3208" w:rsidRPr="00FC3208" w:rsidRDefault="00FC3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החוק</w:t>
                        </w:r>
                      </w:p>
                    </w:tc>
                  </w:tr>
                </w:tbl>
                <w:p w:rsidR="00FC3208" w:rsidRDefault="00FC32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10" o:spid="_x0000_s1031" type="#_x0000_t202" style="position:absolute;left:0;text-align:left;margin-left:166.95pt;margin-top:80.2pt;width:210.1pt;height:22.35pt;z-index:1;mso-position-horizontal-relative:page;mso-position-vertical-relative:page" stroked="f">
            <v:textbox style="mso-next-textbox:#_x0000_s53210" inset="0,0,0,0">
              <w:txbxContent>
                <w:p w:rsidR="00FC3208" w:rsidRPr="00FC3208" w:rsidRDefault="00FC3208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חוק-יסוד: כבוד האדם וחירותו*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C32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02839C-42E8-4652-A366-C3CD6929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32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2008-04-07T13:03:00Z</dcterms:created>
  <dcterms:modified xsi:type="dcterms:W3CDTF">2008-04-07T13:04:00Z</dcterms:modified>
</cp:coreProperties>
</file>