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F6069" w:rsidRDefault="001F6069">
      <w:pPr>
        <w:rPr>
          <w:rtl/>
        </w:rPr>
      </w:pPr>
    </w:p>
    <w:p w:rsidR="001F606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3211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53211" inset="0,0,0,0">
              <w:txbxContent>
                <w:p w:rsidR="001F6069" w:rsidRDefault="001F6069">
                  <w:r>
                    <w:rPr>
                      <w:rtl/>
                    </w:rPr>
                    <w:t>114                                         ספר החוקים 1387                 ז' באדר ב' התשנ"ב 12.03.1992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53212" o:spid="_x0000_s1026" type="#_x0000_t202" style="position:absolute;left:0;text-align:left;margin-left:81.45pt;margin-top:423.95pt;width:374.6pt;height:39.6pt;z-index:6;mso-position-horizontal-relative:page;mso-position-vertical-relative:page" stroked="f">
            <v:textbox style="mso-next-textbox:#_x0000_s53212" inset="0,0,0,0">
              <w:txbxContent>
                <w:p w:rsidR="001F6069" w:rsidRDefault="001F6069">
                  <w:pPr>
                    <w:pStyle w:val="OCRStyle1"/>
                    <w:ind w:left="9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כ"ח באדר א התשנ ב (3 במרס 1992). הצעת החוק ודברי הסבר פורסמו בהצעות חוק 2096 ביום</w:t>
                  </w:r>
                </w:p>
                <w:p w:rsidR="001F6069" w:rsidRPr="001F6069" w:rsidRDefault="001F6069">
                  <w:pPr>
                    <w:pStyle w:val="OCRStyle1"/>
                    <w:ind w:left="295"/>
                  </w:pPr>
                  <w:r>
                    <w:rPr>
                      <w:rtl/>
                    </w:rPr>
                    <w:t>י"ז בטבת התשנ"ב (24 בדצמבר 1991) בעמ' 102</w:t>
                  </w:r>
                </w:p>
              </w:txbxContent>
            </v:textbox>
            <w10:wrap anchorx="page" anchory="page"/>
          </v:shape>
        </w:pict>
      </w:r>
      <w:r>
        <w:pict>
          <v:shape id="_x0000_s53213" o:spid="_x0000_s1027" type="#_x0000_t202" style="position:absolute;left:0;text-align:left;margin-left:116.9pt;margin-top:368.9pt;width:92.05pt;height:40.4pt;z-index:5;mso-position-horizontal-relative:page;mso-position-vertical-relative:page" stroked="f">
            <v:textbox style="mso-next-textbox:#_x0000_s53213" inset="0,0,0,0">
              <w:txbxContent>
                <w:p w:rsidR="001F6069" w:rsidRDefault="001F6069">
                  <w:pPr>
                    <w:pStyle w:val="OCRStyle1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1F6069" w:rsidRDefault="001F6069">
                  <w:pPr>
                    <w:pStyle w:val="OCRStyle1"/>
                    <w:ind w:left="76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3214" o:spid="_x0000_s1028" type="#_x0000_t202" style="position:absolute;left:0;text-align:left;margin-left:220.05pt;margin-top:344.75pt;width:101.55pt;height:29.3pt;z-index:4;mso-position-horizontal-relative:page;mso-position-vertical-relative:page" stroked="f">
            <v:textbox style="mso-next-textbox:#_x0000_s53214" inset="0,0,0,0">
              <w:txbxContent>
                <w:p w:rsidR="001F6069" w:rsidRDefault="001F6069">
                  <w:pPr>
                    <w:pStyle w:val="OCRStyle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1F6069" w:rsidRDefault="001F6069">
                  <w:pPr>
                    <w:pStyle w:val="OCRStyle1"/>
                    <w:ind w:left="13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3215" o:spid="_x0000_s1029" type="#_x0000_t202" style="position:absolute;left:0;text-align:left;margin-left:337.25pt;margin-top:372.25pt;width:93.65pt;height:42.15pt;z-index:3;mso-position-horizontal-relative:page;mso-position-vertical-relative:page" stroked="f">
            <v:textbox style="mso-next-textbox:#_x0000_s53215" inset="0,0,0,0">
              <w:txbxContent>
                <w:p w:rsidR="001F6069" w:rsidRDefault="001F6069">
                  <w:pPr>
                    <w:pStyle w:val="OCRStyle1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1F6069" w:rsidRDefault="001F6069">
                  <w:pPr>
                    <w:pStyle w:val="OCRStyle1"/>
                    <w:ind w:left="23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3216" o:spid="_x0000_s1030" type="#_x0000_t202" style="position:absolute;left:0;text-align:left;margin-left:72.9pt;margin-top:122.6pt;width:474.2pt;height:221.95pt;z-index:2;mso-position-horizontal-relative:page;mso-position-vertical-relative:page" stroked="f">
            <v:textbox style="mso-next-textbox:#_x0000_s53216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09"/>
                    <w:gridCol w:w="1612"/>
                  </w:tblGrid>
                  <w:tr w:rsidR="001F6069" w:rsidRPr="001F6069">
                    <w:trPr>
                      <w:jc w:val="right"/>
                    </w:trPr>
                    <w:tc>
                      <w:tcPr>
                        <w:tcW w:w="4065" w:type="pct"/>
                      </w:tcPr>
                      <w:p w:rsidR="001F6069" w:rsidRDefault="001F6069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כל אזרח או תושב של המדינה זכאי לעסוק ככל עיסוק, מקצוע או משלח יד; אין מגבילים</w:t>
                        </w:r>
                      </w:p>
                      <w:p w:rsidR="001F6069" w:rsidRPr="001F6069" w:rsidRDefault="001F60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זו אלא בחוק, לתכלית ראויה ומטעמים של טובת הכלל.</w:t>
                        </w:r>
                      </w:p>
                    </w:tc>
                    <w:tc>
                      <w:tcPr>
                        <w:tcW w:w="935" w:type="pct"/>
                      </w:tcPr>
                      <w:p w:rsidR="001F6069" w:rsidRPr="001F6069" w:rsidRDefault="001F60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חופש העיסוק</w:t>
                        </w:r>
                      </w:p>
                    </w:tc>
                  </w:tr>
                  <w:tr w:rsidR="001F6069" w:rsidRPr="001F6069">
                    <w:trPr>
                      <w:jc w:val="right"/>
                    </w:trPr>
                    <w:tc>
                      <w:tcPr>
                        <w:tcW w:w="4065" w:type="pct"/>
                      </w:tcPr>
                      <w:p w:rsidR="001F6069" w:rsidRDefault="001F60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היה עיסוק מותנה בקבלת רשיון, לא תישלל הזכות לרשיון אלא על פי חוק ומטעמים של</w:t>
                        </w:r>
                      </w:p>
                      <w:p w:rsidR="001F6069" w:rsidRDefault="001F60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בטחון המדינה, תקנת הציבור, שלום הציבור ובריאותו, בטיחות, איכות הסביבה או הגנה על</w:t>
                        </w:r>
                      </w:p>
                      <w:p w:rsidR="001F6069" w:rsidRPr="001F6069" w:rsidRDefault="001F60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המוסר הציבורי.</w:t>
                        </w:r>
                      </w:p>
                    </w:tc>
                    <w:tc>
                      <w:tcPr>
                        <w:tcW w:w="935" w:type="pct"/>
                      </w:tcPr>
                      <w:p w:rsidR="001F6069" w:rsidRPr="001F6069" w:rsidRDefault="001F60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טעמים לרישוי</w:t>
                        </w:r>
                      </w:p>
                    </w:tc>
                  </w:tr>
                  <w:tr w:rsidR="001F6069" w:rsidRPr="001F6069">
                    <w:trPr>
                      <w:jc w:val="right"/>
                    </w:trPr>
                    <w:tc>
                      <w:tcPr>
                        <w:tcW w:w="4065" w:type="pct"/>
                      </w:tcPr>
                      <w:p w:rsidR="001F6069" w:rsidRPr="001F6069" w:rsidRDefault="001F60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בל רשות מרשויות השלטון חייבת לכבד את חופש העיסוק של כל אזרח אי תושב</w:t>
                        </w:r>
                      </w:p>
                    </w:tc>
                    <w:tc>
                      <w:tcPr>
                        <w:tcW w:w="935" w:type="pct"/>
                      </w:tcPr>
                      <w:p w:rsidR="001F6069" w:rsidRPr="001F6069" w:rsidRDefault="001F60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</w:t>
                        </w:r>
                      </w:p>
                    </w:tc>
                  </w:tr>
                  <w:tr w:rsidR="001F6069" w:rsidRPr="001F6069">
                    <w:trPr>
                      <w:jc w:val="right"/>
                    </w:trPr>
                    <w:tc>
                      <w:tcPr>
                        <w:tcW w:w="4065" w:type="pct"/>
                      </w:tcPr>
                      <w:p w:rsidR="001F6069" w:rsidRDefault="001F60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אין בכוחן של תקנות שעת חירום לשנות חוק-יסוד זה, להפקיע זמנית את תקפו או ייקבוע</w:t>
                        </w:r>
                      </w:p>
                      <w:p w:rsidR="001F6069" w:rsidRPr="001F6069" w:rsidRDefault="001F60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 תנאים</w:t>
                        </w:r>
                      </w:p>
                    </w:tc>
                    <w:tc>
                      <w:tcPr>
                        <w:tcW w:w="935" w:type="pct"/>
                      </w:tcPr>
                      <w:p w:rsidR="001F6069" w:rsidRPr="001F6069" w:rsidRDefault="001F60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יציבות החיק</w:t>
                        </w:r>
                      </w:p>
                    </w:tc>
                  </w:tr>
                  <w:tr w:rsidR="001F6069" w:rsidRPr="001F6069">
                    <w:trPr>
                      <w:jc w:val="right"/>
                    </w:trPr>
                    <w:tc>
                      <w:tcPr>
                        <w:tcW w:w="4065" w:type="pct"/>
                      </w:tcPr>
                      <w:p w:rsidR="001F6069" w:rsidRPr="001F6069" w:rsidRDefault="001F60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אין לשנות חוק-יסוד זה אלא בחוק-יסוד שנתקבל ברוב שי חברי הכנסת.</w:t>
                        </w:r>
                      </w:p>
                    </w:tc>
                    <w:tc>
                      <w:tcPr>
                        <w:tcW w:w="935" w:type="pct"/>
                      </w:tcPr>
                      <w:p w:rsidR="001F6069" w:rsidRPr="001F6069" w:rsidRDefault="001F60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נוקשות רחוק</w:t>
                        </w:r>
                      </w:p>
                    </w:tc>
                  </w:tr>
                  <w:tr w:rsidR="001F6069" w:rsidRPr="001F6069">
                    <w:trPr>
                      <w:jc w:val="right"/>
                    </w:trPr>
                    <w:tc>
                      <w:tcPr>
                        <w:tcW w:w="4065" w:type="pct"/>
                      </w:tcPr>
                      <w:p w:rsidR="001F6069" w:rsidRDefault="001F60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הוראות חיקוק שהיו בתוקף ערב תחילתו של חוק-יסוד זה, והן עומדות בסתירה</w:t>
                        </w:r>
                      </w:p>
                      <w:p w:rsidR="001F6069" w:rsidRDefault="001F60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להוראותיו, יעמדו בתקפן עד תום שנתיים מיום תחילתו שי1 חוק-יסוד זה; ואולם פירושן שי1</w:t>
                        </w:r>
                      </w:p>
                      <w:p w:rsidR="001F6069" w:rsidRPr="001F6069" w:rsidRDefault="001F60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ההוראות האמורות ייעשה ברוח הוראות חוק-יסוד זה.</w:t>
                        </w:r>
                      </w:p>
                    </w:tc>
                    <w:tc>
                      <w:tcPr>
                        <w:tcW w:w="935" w:type="pct"/>
                      </w:tcPr>
                      <w:p w:rsidR="001F6069" w:rsidRPr="001F6069" w:rsidRDefault="001F60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שעה</w:t>
                        </w:r>
                      </w:p>
                    </w:tc>
                  </w:tr>
                </w:tbl>
                <w:p w:rsidR="001F6069" w:rsidRDefault="001F606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3217" o:spid="_x0000_s1031" type="#_x0000_t202" style="position:absolute;left:0;text-align:left;margin-left:191.7pt;margin-top:96.85pt;width:149.7pt;height:22.35pt;z-index:1;mso-position-horizontal-relative:page;mso-position-vertical-relative:page" stroked="f">
            <v:textbox style="mso-next-textbox:#_x0000_s53217" inset="0,0,0,0">
              <w:txbxContent>
                <w:p w:rsidR="001F6069" w:rsidRPr="001F6069" w:rsidRDefault="001F6069">
                  <w:pPr>
                    <w:pStyle w:val="OCRStyle1"/>
                    <w:ind w:left="205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חוק-יסוד: חופש העיסוק*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1F606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F606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5226E1E-5552-4FF6-896F-142CDAA45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F6069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2008-04-07T12:58:00Z</dcterms:created>
  <dcterms:modified xsi:type="dcterms:W3CDTF">2008-04-07T12:59:00Z</dcterms:modified>
</cp:coreProperties>
</file>