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47DE" w:rsidRDefault="00B147DE">
      <w:pPr>
        <w:rPr>
          <w:rtl/>
        </w:rPr>
      </w:pPr>
    </w:p>
    <w:p w:rsidR="00B147D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24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245" inset="0,0,0,0">
              <w:txbxContent>
                <w:p w:rsidR="003F20EE" w:rsidRDefault="003F20EE">
                  <w:r>
                    <w:rPr>
                      <w:rtl/>
                    </w:rPr>
                    <w:t>138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6" o:spid="_x0000_s1026" type="#_x0000_t202" style="position:absolute;left:0;text-align:left;margin-left:88.05pt;margin-top:667.1pt;width:378pt;height:88.7pt;z-index:3;mso-position-horizontal-relative:page;mso-position-vertical-relative:page" stroked="f">
            <v:textbox style="mso-next-textbox:#_x0000_s53246" inset="0,0,0,0">
              <w:txbxContent>
                <w:p w:rsidR="003F20EE" w:rsidRDefault="003F20E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התשנ"א (19 במרס 1991): הצעת החוק תברי הסבר פורסמו בהצעות חוק 2002, מיום ט'</w:t>
                  </w:r>
                </w:p>
                <w:p w:rsidR="003F20EE" w:rsidRDefault="003F20EE">
                  <w:pPr>
                    <w:pStyle w:val="OCRStyle1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בתמוז התש"ן (2 ביולי 1990), עמ' 232.</w:t>
                  </w:r>
                </w:p>
                <w:p w:rsidR="003F20EE" w:rsidRDefault="003F20EE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1 ס"ח התשל"ז, עמ' 226.</w:t>
                  </w:r>
                </w:p>
                <w:p w:rsidR="003F20EE" w:rsidRPr="00B147DE" w:rsidRDefault="003F20EE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2 ס"ח התשכ"ב, עמ' .120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47" o:spid="_x0000_s1027" type="#_x0000_t202" style="position:absolute;left:0;text-align:left;margin-left:82.9pt;margin-top:325.35pt;width:465.7pt;height:336.6pt;z-index:2;mso-position-horizontal-relative:page;mso-position-vertical-relative:page" stroked="f">
            <v:textbox style="mso-next-textbox:#_x0000_s5324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7"/>
                    <w:gridCol w:w="1119"/>
                  </w:tblGrid>
                  <w:tr w:rsidR="003F20EE" w:rsidRPr="00B147DE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3F20EE" w:rsidRDefault="003F20EE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השלום או בית משפט מחוזי;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זוג" - לרבות ידוע בציבור;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"בן משפחה" - לרבות מי שהיה בן משפחה בעבר, והוא אחד מאלה: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בן זוג, הורה או בן זוג של הורה, סב או סבתא, צאצא או צאצא של בן זוג, אח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אחות, גיס או גיסה, דוד או דודה, אחיין או אחיינית?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שאחראי לצרכי מחייתו, בריאותו, חינוכו או שלומו של קטין או חסר ישע,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המתגורר עמו, וקטין או חסר ישע המתגורר עם מי שאחראי עליו כאמור?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"חסר ישע" - כהגדרתו בסעיף 368א לחוק העונשין, התשל"ז-1977 1;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"קטין" - כהגדרתו בחוק הכשרות המשפטית והאופטרופסות, התשכ"ב-21962.</w:t>
                        </w:r>
                      </w:p>
                      <w:p w:rsidR="003F20EE" w:rsidRPr="00B147D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- מי שמונה לכך על פי דין.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3F20EE" w:rsidRPr="00B147D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3F20EE" w:rsidRPr="00B147DE">
                    <w:trPr>
                      <w:jc w:val="right"/>
                    </w:trPr>
                    <w:tc>
                      <w:tcPr>
                        <w:tcW w:w="4339" w:type="pct"/>
                      </w:tcPr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בית המשפט רשאי לתת צו האוסר על אדם לעשות את אלה כולם או מקצתם או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לקבוע להם תנאים (להלן - צו הגנה):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להיכנס לדירה בה מתגורר בן משפחתו או להימצא בתחום מרחק מסויים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מאותה דירה, והוא אף אם יש לו זכות כלשהי בה;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להטריד את בן משפחתו בכל דרך ובכל מקום;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לפעול בכל דרך המונעת או המקשה על שימוש בנכס המשמש כדין את בן</w:t>
                        </w:r>
                      </w:p>
                      <w:p w:rsidR="003F20E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משפחתו, והוא אף אם יש לו זכות כלשהי בנכס;</w:t>
                        </w:r>
                      </w:p>
                      <w:p w:rsidR="003F20EE" w:rsidRPr="00B147D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לשאת או להחזיק נשק.</w:t>
                        </w:r>
                      </w:p>
                    </w:tc>
                    <w:tc>
                      <w:tcPr>
                        <w:tcW w:w="661" w:type="pct"/>
                      </w:tcPr>
                      <w:p w:rsidR="003F20EE" w:rsidRPr="00B147DE" w:rsidRDefault="003F20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הגנה</w:t>
                        </w:r>
                      </w:p>
                    </w:tc>
                  </w:tr>
                </w:tbl>
                <w:p w:rsidR="003F20EE" w:rsidRDefault="003F20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248" o:spid="_x0000_s1028" type="#_x0000_t202" style="position:absolute;left:0;text-align:left;margin-left:141.5pt;margin-top:294.25pt;width:259.95pt;height:23.35pt;z-index:1;mso-position-horizontal-relative:page;mso-position-vertical-relative:page" stroked="f">
            <v:textbox style="mso-next-textbox:#_x0000_s53248" inset="0,0,0,0">
              <w:txbxContent>
                <w:p w:rsidR="003F20EE" w:rsidRPr="00B147DE" w:rsidRDefault="003F20EE">
                  <w:pPr>
                    <w:pStyle w:val="OCRStyle1"/>
                    <w:ind w:left="18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למניעת אלימות במשפחה, התשנ"א-1991*</w:t>
                  </w:r>
                </w:p>
              </w:txbxContent>
            </v:textbox>
            <w10:wrap anchorx="page" anchory="page"/>
          </v:shape>
        </w:pict>
      </w:r>
    </w:p>
    <w:p w:rsidR="00FC2689" w:rsidRDefault="00FC2689">
      <w:pPr>
        <w:rPr>
          <w:rtl/>
        </w:rPr>
      </w:pPr>
      <w:r>
        <w:rPr>
          <w:rtl/>
        </w:rPr>
        <w:br w:type="page"/>
      </w:r>
    </w:p>
    <w:p w:rsidR="00FC2689" w:rsidRDefault="00000000">
      <w:pPr>
        <w:rPr>
          <w:rtl/>
        </w:rPr>
      </w:pPr>
      <w:r>
        <w:pict>
          <v:shape id="_x0000_s5324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249" inset="0,0,0,0">
              <w:txbxContent>
                <w:p w:rsidR="003F20EE" w:rsidRDefault="003F20EE">
                  <w:r>
                    <w:rPr>
                      <w:rtl/>
                    </w:rPr>
                    <w:t>139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0" o:spid="_x0000_s1030" type="#_x0000_t202" style="position:absolute;left:0;text-align:left;margin-left:379.9pt;margin-top:636.85pt;width:172.05pt;height:110.1pt;z-index:6;mso-position-horizontal-relative:page;mso-position-vertical-relative:page" stroked="f">
            <v:textbox style="mso-next-textbox:#_x0000_s53250" inset="0,0,0,0">
              <w:txbxContent>
                <w:p w:rsidR="003F20EE" w:rsidRDefault="003F20EE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1 ס"ח התש"ט, עמ' 143.</w:t>
                  </w:r>
                </w:p>
                <w:p w:rsidR="003F20EE" w:rsidRDefault="003F20EE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4 ס"ח התשט"ו, עמ' .171</w:t>
                  </w:r>
                </w:p>
                <w:p w:rsidR="003F20EE" w:rsidRDefault="003F20EE">
                  <w:pPr>
                    <w:pStyle w:val="OCRStyle2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 ס"ח התש"ך, עמ' .52</w:t>
                  </w:r>
                </w:p>
                <w:p w:rsidR="003F20EE" w:rsidRDefault="003F20EE">
                  <w:pPr>
                    <w:pStyle w:val="OCRStyle2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6 ס"ח התשט"ו, עמ' 126.</w:t>
                  </w:r>
                </w:p>
                <w:p w:rsidR="003F20EE" w:rsidRDefault="003F20EE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7 חוקי א"י כרך א', פרק כ"ג, עמ' .332</w:t>
                  </w:r>
                </w:p>
                <w:p w:rsidR="003F20EE" w:rsidRPr="00FC2689" w:rsidRDefault="003F20EE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8 דיני מדינת ישראל, נוסח חדש 12, עמ' .284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1" o:spid="_x0000_s1031" type="#_x0000_t202" style="position:absolute;left:0;text-align:left;margin-left:83.7pt;margin-top:56.5pt;width:475.2pt;height:572.6pt;z-index:5;mso-position-horizontal-relative:page;mso-position-vertical-relative:page" stroked="f">
            <v:textbox style="mso-next-textbox:#_x0000_s53251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12"/>
                    <w:gridCol w:w="7029"/>
                  </w:tblGrid>
                  <w:tr w:rsidR="003F20EE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7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הגנה יכול שיכיל גם דרישה לערובה הן לקיומו והן להתנהגות טובה, או כל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הוראה אחרת הדרושה, לדעת בית המשפט, להבטחת שלומו ובטחונו של בן משפחה, ויכול שיכיל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גם הוראות בדבר הסידורים הנדרשים כתוצאה ממתן הצו.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תנאי הערובה כאמור בסעיף קטן (ב), לרבות חילוטה, יפורטו בצו ההגנה.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ניתן צו הגנה הכולל איסור על פי סעיף קטן (א)(4), תימסר הודעה על כך על-ידי בית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לפקיד רישוי כהגדרתו בחוק כלי הירייה, התש"ט-31949.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ניתן צו הגנה הכולל איסור כאמור בסעיף קטן (א)(4) והמחוייב בצו הוא איש רשות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בטחון, רשאי בית המשפט לקבוע בצו תנאים לפיהם רשאי אותו אדם לשאת או להחזיק נשק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מילוי תפקידו; הודעה על צו כאמור תימסר בידי בית המשפט לרשות הבטחון הנוגעת לענין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וזאת תעשה את הסידורים הנדרשים שיבטיחו קיום הצו; לענין סעיף זה, "איש רשות בטחון" - מי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שנמנה עם משטרת ישראל, שירות בתי הסוהר או שירות הבטחון הכללי או מי שהוא חייל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כהגדרתו בחוק השיפוט הצבאי, התשט"ו-41955.</w:t>
                        </w:r>
                      </w:p>
                    </w:tc>
                  </w:tr>
                  <w:tr w:rsidR="003F20EE" w:rsidRPr="00FC268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למתן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הגנה</w:t>
                        </w:r>
                      </w:p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והתנאים לנתינתו</w:t>
                        </w:r>
                      </w:p>
                    </w:tc>
                    <w:tc>
                      <w:tcPr>
                        <w:tcW w:w="4067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לבקשת בן משפחה, היועץ המשפטי לממשלה או נציגו, או פקיד סעד שהתמנה על פי חוק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(טיפול והשגחה), התש"ך-51960, רשאי בית המשפט לתת צו הגנה מפני אדם אם ראה כי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נתקיים אחד מאלה: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בסמוך לפני הגשת הבקשה נהג באלימות בבן משפחתו או ביצע בו עבירת מין;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התנהגותו נותנת בסיס סביר להניח כי הוא מהווה סכנה גופנית ממשית לבן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או שהוא עלול לבצע בו עבירת מין;</w:t>
                        </w:r>
                      </w:p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זה, "עבירת מין" - עבירה לפי סימן ה' בפרק י' לחוק העונשין, התשל"ז-1977.</w:t>
                        </w:r>
                      </w:p>
                    </w:tc>
                  </w:tr>
                  <w:tr w:rsidR="003F20EE" w:rsidRPr="00FC268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</w:t>
                        </w:r>
                      </w:p>
                    </w:tc>
                    <w:tc>
                      <w:tcPr>
                        <w:tcW w:w="4067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בית המשפט רשאי לתת צו הגנה במעמד צד אחד; ניתן צו במעמד צד אחד יתקיים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הדיון בנוכחות שני הצדדים בהקדם האפשרי ולא יאוחר משבעה ימים מיום מתן הצו.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נקבע דיון כאמור בסעיף קטן (א), רשאי בית המשפט להאריך את תקפו של הצו</w:t>
                        </w:r>
                      </w:p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5, לבטלו או להכניס בו שינויים, אף אם מי שמחוייב בצו לא התייצב לדיון.</w:t>
                        </w:r>
                      </w:p>
                    </w:tc>
                  </w:tr>
                  <w:tr w:rsidR="003F20EE" w:rsidRPr="00FC268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תוקף</w:t>
                        </w:r>
                      </w:p>
                    </w:tc>
                    <w:tc>
                      <w:tcPr>
                        <w:tcW w:w="4067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תקפו של צו הגנה לא יעלה על שלושה חדשים; בית המשפט רשאי להאריך את תקפו של</w:t>
                        </w:r>
                      </w:p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הצו מפעם לפעם, ובלבד שהתקופה הכוללת לא תעלה על ששה חדשים.</w:t>
                        </w:r>
                      </w:p>
                    </w:tc>
                  </w:tr>
                  <w:tr w:rsidR="003F20EE" w:rsidRPr="00FC268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</w:t>
                        </w:r>
                      </w:p>
                    </w:tc>
                    <w:tc>
                      <w:tcPr>
                        <w:tcW w:w="4067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לצורך הליך על פי סעיף 4 (ב) רשאי בית המשפט לצוות על פקיד סעד להכין תסקיר בכתב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דבר הקשור למתן צו הגנה, והוראות חוק הסעד (סדרי דין בעניני קטינים, חולי נפש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ונעדרים), התשט"ו-61955, יחולו בשינויים המחוייבים על הכנתו, אף אם התסקיר נתבקש לגבי</w:t>
                        </w:r>
                      </w:p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שאינו כלול בחוק האמור.</w:t>
                        </w:r>
                      </w:p>
                    </w:tc>
                  </w:tr>
                  <w:tr w:rsidR="003F20EE" w:rsidRPr="00FC2689">
                    <w:trPr>
                      <w:jc w:val="right"/>
                    </w:trPr>
                    <w:tc>
                      <w:tcPr>
                        <w:tcW w:w="933" w:type="pct"/>
                      </w:tcPr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הסרת צו</w:t>
                        </w:r>
                      </w:p>
                    </w:tc>
                    <w:tc>
                      <w:tcPr>
                        <w:tcW w:w="4067" w:type="pct"/>
                      </w:tcPr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(א) הוגשה בקשה לבית המשפט בשל הפרת צו הגנה או נעצר אדם כאמור בסעיף קטן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(ב), ידון בית המשפט בבקשה על פי פקודת בזיון בית המשפט.7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הוגשה תלונה במשטרה על הפרת צו הגנה הכולל איסור לפי סעיף 2(א)(1), רשאי</w:t>
                        </w:r>
                      </w:p>
                      <w:p w:rsidR="003F20EE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שוטר לעצור את המפר; על מעצרו יחולו הוראות סעיף 16(ב) לפקודת סדר הדין הפלילי (מעצר</w:t>
                        </w:r>
                      </w:p>
                      <w:p w:rsidR="003F20EE" w:rsidRPr="00FC2689" w:rsidRDefault="003F20E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וחיפוש) [נוסח חדש], התשכ"ט-81969.</w:t>
                        </w:r>
                      </w:p>
                    </w:tc>
                  </w:tr>
                </w:tbl>
                <w:p w:rsidR="003F20EE" w:rsidRDefault="003F20E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F20EE" w:rsidRDefault="003F20EE">
      <w:pPr>
        <w:rPr>
          <w:rtl/>
        </w:rPr>
      </w:pPr>
      <w:r>
        <w:rPr>
          <w:rtl/>
        </w:rPr>
        <w:br w:type="page"/>
      </w:r>
    </w:p>
    <w:p w:rsidR="003F20EE" w:rsidRDefault="00000000">
      <w:pPr>
        <w:rPr>
          <w:rtl/>
        </w:rPr>
      </w:pPr>
      <w:r>
        <w:pict>
          <v:shape id="_x0000_s53252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53252" inset="0,0,0,0">
              <w:txbxContent>
                <w:p w:rsidR="003F20EE" w:rsidRDefault="003F20EE">
                  <w:r>
                    <w:rPr>
                      <w:rtl/>
                    </w:rPr>
                    <w:t>140                                         ספר החוקים 1352                  י"ג בניסן התשנ"א 28.03.1991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3" o:spid="_x0000_s1033" type="#_x0000_t202" style="position:absolute;left:0;text-align:left;margin-left:298.3pt;margin-top:543.6pt;width:168.7pt;height:30.1pt;z-index:13;mso-position-horizontal-relative:page;mso-position-vertical-relative:page" stroked="f">
            <v:textbox style="mso-next-textbox:#_x0000_s53253" inset="0,0,0,0">
              <w:txbxContent>
                <w:p w:rsidR="003F20EE" w:rsidRDefault="003F20EE">
                  <w:pPr>
                    <w:pStyle w:val="OCRStyle3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9 דיני מדינת ישראל, נוסח חדש 118, עמ' 421.</w:t>
                  </w:r>
                </w:p>
                <w:p w:rsidR="003F20EE" w:rsidRPr="003F20EE" w:rsidRDefault="003F20EE">
                  <w:pPr>
                    <w:pStyle w:val="OCRStyle3"/>
                    <w:ind w:left="176"/>
                  </w:pPr>
                  <w:r>
                    <w:rPr>
                      <w:rtl/>
                    </w:rPr>
                    <w:t>10 ס"ח התשמ"ב, עמ' .43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4" o:spid="_x0000_s1034" type="#_x0000_t202" style="position:absolute;left:0;text-align:left;margin-left:89pt;margin-top:465.2pt;width:69.9pt;height:36.25pt;z-index:12;mso-position-horizontal-relative:page;mso-position-vertical-relative:page" stroked="f">
            <v:textbox style="mso-next-textbox:#_x0000_s53254" inset="0,0,0,0">
              <w:txbxContent>
                <w:p w:rsidR="003F20EE" w:rsidRDefault="003F20EE">
                  <w:pPr>
                    <w:pStyle w:val="OCRStyle3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3F20EE" w:rsidRDefault="003F20EE">
                  <w:pPr>
                    <w:pStyle w:val="OCRStyle3"/>
                    <w:ind w:left="2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5" o:spid="_x0000_s1035" type="#_x0000_t202" style="position:absolute;left:0;text-align:left;margin-left:170pt;margin-top:497.1pt;width:99.8pt;height:37.05pt;z-index:11;mso-position-horizontal-relative:page;mso-position-vertical-relative:page" stroked="f">
            <v:textbox style="mso-next-textbox:#_x0000_s53255" inset="0,0,0,0">
              <w:txbxContent>
                <w:p w:rsidR="003F20EE" w:rsidRDefault="003F20EE">
                  <w:pPr>
                    <w:pStyle w:val="OCRStyle3"/>
                    <w:ind w:left="32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F20EE" w:rsidRDefault="003F20EE">
                  <w:pPr>
                    <w:pStyle w:val="OCRStyle3"/>
                    <w:ind w:left="20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6" o:spid="_x0000_s1036" type="#_x0000_t202" style="position:absolute;left:0;text-align:left;margin-left:276.7pt;margin-top:465.2pt;width:78.4pt;height:35.45pt;z-index:10;mso-position-horizontal-relative:page;mso-position-vertical-relative:page" stroked="f">
            <v:textbox style="mso-next-textbox:#_x0000_s53256" inset="0,0,0,0">
              <w:txbxContent>
                <w:p w:rsidR="003F20EE" w:rsidRDefault="003F20EE">
                  <w:pPr>
                    <w:pStyle w:val="OCRStyle3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F20EE" w:rsidRDefault="003F20EE">
                  <w:pPr>
                    <w:pStyle w:val="OCRStyle3"/>
                    <w:ind w:left="1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7" o:spid="_x0000_s1037" type="#_x0000_t202" style="position:absolute;left:0;text-align:left;margin-left:375.7pt;margin-top:498.1pt;width:76.65pt;height:31.9pt;z-index:9;mso-position-horizontal-relative:page;mso-position-vertical-relative:page" stroked="f">
            <v:textbox style="mso-next-textbox:#_x0000_s53257" inset="0,0,0,0">
              <w:txbxContent>
                <w:p w:rsidR="003F20EE" w:rsidRDefault="003F20EE">
                  <w:pPr>
                    <w:pStyle w:val="OCRStyle3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F20EE" w:rsidRDefault="003F20EE">
                  <w:pPr>
                    <w:pStyle w:val="OCRStyle3"/>
                    <w:ind w:left="25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258" o:spid="_x0000_s1038" type="#_x0000_t202" style="position:absolute;left:0;text-align:left;margin-left:76.15pt;margin-top:63.25pt;width:464.1pt;height:394.2pt;z-index:8;mso-position-horizontal-relative:page;mso-position-vertical-relative:page" stroked="f">
            <v:textbox style="mso-next-textbox:#_x0000_s5325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45"/>
                    <w:gridCol w:w="972"/>
                    <w:gridCol w:w="1321"/>
                  </w:tblGrid>
                  <w:tr w:rsid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לא תהיה זו הגנה טובה למי שהפר צו הגנה שבני משפחתו לא עמדו על קיומו או על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הפעלת הוראות החוק בשל הפרתו.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בהליך על פי חוק זה לא יחולו הוראות סעיפים 3 ו-4 לפקודת הראיות [נוסח חדש],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התשל"א-1971 9.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ראיות</w:t>
                        </w: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כתבי בית-דין וצווים על פי חוק זה יומצאו על ידי פקיד בית המשפט, או על ידי מי שהוסמך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 בידי בית המשפט או מנהל בתי המשפט; ואולם לא יוסמך לכך בן משפחתו שלצד בהליך או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אדם מטעמו, למעט עורך דינו אם זה הסכים לכך.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המצאה</w:t>
                        </w: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בהליך על פי חוק זה לא תישמע טענה כי בית המשפט מנוע מלדון או מלתת סעד בענין,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שהוא מתברר בהליך אחר או מחמת שבן משפחה היתנה על זכותו על פי חוק זה או מחמת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סיבה אחרת.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</w:t>
                        </w: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דחה בית המשפט בקשה למתן צו הגנה וקבע כי היא קנטרנית, רשאי הוא להטיל על מי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שביקש צו הגנה את אלה או חלק מהם: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הוצאות לטובת המדינה ולצד שנפגע, בשיעור שימצא לנכון;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פיצוי נאות למי שנפגע מהגשת הבקשה.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ופיצויים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בפניית סרק</w:t>
                        </w: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הוראות חוק זה באות להוסיף על הוראות כל דין ולא לגרוע מהן.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המשפטים ממונה על ביצוע חוק זה והוא רשאי להתקין תקנות בכל הנוגע לביצועו.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בחוק הנוער (טיפול והשגחה), התש"ך-1960, אחרי סעיף 3 יבוא:</w:t>
                        </w:r>
                      </w:p>
                    </w:tc>
                    <w:tc>
                      <w:tcPr>
                        <w:tcW w:w="783" w:type="pct"/>
                        <w:vMerge w:val="restart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הנוער (טיפול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והשגחה)</w:t>
                        </w:r>
                      </w:p>
                    </w:tc>
                  </w:tr>
                  <w:tr w:rsidR="003F20EE">
                    <w:trPr>
                      <w:jc w:val="right"/>
                    </w:trPr>
                    <w:tc>
                      <w:tcPr>
                        <w:tcW w:w="3641" w:type="pct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בית המשפט הדן בענינו של קטין רשאי, אם ראה צורך בכך, לתת צו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הגנה על פי חוק למניעת אלימות במשפחה, התשנ"א-1991".</w:t>
                        </w:r>
                      </w:p>
                    </w:tc>
                    <w:tc>
                      <w:tcPr>
                        <w:tcW w:w="576" w:type="pct"/>
                      </w:tcPr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הגנה</w:t>
                        </w:r>
                      </w:p>
                    </w:tc>
                    <w:tc>
                      <w:tcPr>
                        <w:tcW w:w="783" w:type="pct"/>
                        <w:vMerge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F20EE" w:rsidRPr="003F20EE">
                    <w:trPr>
                      <w:jc w:val="right"/>
                    </w:trPr>
                    <w:tc>
                      <w:tcPr>
                        <w:tcW w:w="4217" w:type="pct"/>
                        <w:gridSpan w:val="2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בחוק סדר הדין הפלילי [נוסח משולב], התשמ"ב-1982 10, בסעיף 44 בסופו, יבוא "כן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לתת צו הגנה כאמור בחוק למניעת אלימות במשפחה, התשנ"א-1991."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תחילתו של חוק זה תשעים ימים מיום פרסומו.</w:t>
                        </w:r>
                      </w:p>
                    </w:tc>
                    <w:tc>
                      <w:tcPr>
                        <w:tcW w:w="783" w:type="pct"/>
                      </w:tcPr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 הדין</w:t>
                        </w:r>
                      </w:p>
                      <w:p w:rsid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</w:t>
                        </w:r>
                      </w:p>
                      <w:p w:rsidR="003F20EE" w:rsidRPr="003F20EE" w:rsidRDefault="003F20EE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F20EE" w:rsidRDefault="003F20EE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47D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2E84239-7D90-4BA0-8351-76EDFECF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47D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C268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3F20E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2008-04-07T12:46:00Z</dcterms:created>
  <dcterms:modified xsi:type="dcterms:W3CDTF">2008-04-07T12:46:00Z</dcterms:modified>
</cp:coreProperties>
</file>