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6E74" w:rsidRDefault="005F6E74">
      <w:pPr>
        <w:rPr>
          <w:rtl/>
        </w:rPr>
      </w:pPr>
    </w:p>
    <w:p w:rsidR="005F6E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6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368" inset="0,0,0,0">
              <w:txbxContent>
                <w:p w:rsidR="005F6E74" w:rsidRDefault="005F6E74">
                  <w:r>
                    <w:rPr>
                      <w:rtl/>
                    </w:rPr>
                    <w:t>146                                          ספר החוקים 45                   י"ז בסיוון התש"י 02.06.1950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9" o:spid="_x0000_s1026" type="#_x0000_t202" style="position:absolute;left:0;text-align:left;margin-left:83.7pt;margin-top:657.9pt;width:371.85pt;height:89.7pt;z-index:5;mso-position-horizontal-relative:page;mso-position-vertical-relative:page" stroked="f">
            <v:textbox style="mso-next-textbox:#_x0000_s53369" inset="0,0,0,0">
              <w:txbxContent>
                <w:p w:rsidR="005F6E74" w:rsidRDefault="005F6E7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תש''י (24 במאי 1860).</w:t>
                  </w:r>
                </w:p>
                <w:p w:rsidR="005F6E74" w:rsidRDefault="005F6E74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72 מיום ז' באדר תש"י (24.2.50), עמ' 560,</w:t>
                  </w:r>
                </w:p>
                <w:p w:rsidR="005F6E74" w:rsidRPr="005F6E74" w:rsidRDefault="005F6E74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מס' 2 מיום י"ב באייר תש"ח (21.5.48), תוס' א', עמי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0" o:spid="_x0000_s1027" type="#_x0000_t202" style="position:absolute;left:0;text-align:left;margin-left:362.45pt;margin-top:398.75pt;width:113.85pt;height:45.95pt;z-index:4;mso-position-horizontal-relative:page;mso-position-vertical-relative:page" stroked="f">
            <v:textbox style="mso-next-textbox:#_x0000_s53370" inset="0,0,0,0">
              <w:txbxContent>
                <w:p w:rsidR="005F6E74" w:rsidRDefault="005F6E74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F6E74" w:rsidRDefault="005F6E74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1" o:spid="_x0000_s1028" type="#_x0000_t202" style="position:absolute;left:0;text-align:left;margin-left:108.85pt;margin-top:353.8pt;width:119.2pt;height:44.95pt;z-index:3;mso-position-horizontal-relative:page;mso-position-vertical-relative:page" stroked="f">
            <v:textbox style="mso-next-textbox:#_x0000_s53371" inset="0,0,0,0">
              <w:txbxContent>
                <w:p w:rsidR="005F6E74" w:rsidRDefault="005F6E7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F6E74" w:rsidRDefault="005F6E74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2" o:spid="_x0000_s1029" type="#_x0000_t202" style="position:absolute;left:0;text-align:left;margin-left:91.2pt;margin-top:197.4pt;width:468.25pt;height:153.25pt;z-index:2;mso-position-horizontal-relative:page;mso-position-vertical-relative:page" stroked="f">
            <v:textbox style="mso-next-textbox:#_x0000_s533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8"/>
                    <w:gridCol w:w="1396"/>
                  </w:tblGrid>
                  <w:tr w:rsidR="005F6E74" w:rsidRPr="005F6E74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5F6E74" w:rsidRDefault="005F6E7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על אף פקיעת תקפן של תקנות-שעת-חירום בדבר תפיסת מקרקעים (שיכון</w:t>
                        </w:r>
                      </w:p>
                      <w:p w:rsid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המדינה בירושלים), תש"י-1950, 1 ,(להלן: "התקנות")' צו שניתן על-פי</w:t>
                        </w:r>
                      </w:p>
                      <w:p w:rsid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ושהיה בר תוקף ערב פקיעת תקפן - יעמוד בתקפו' ויהא דינו לכל דבר,</w:t>
                        </w:r>
                      </w:p>
                      <w:p w:rsid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פקע תוקף התקנות, וכאילו הוארך תקפן עד שתפורסם הכרזה, בהתאם</w:t>
                        </w:r>
                      </w:p>
                      <w:p w:rsid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9 (ד) לפקודת סדרי השלטון והמשפט, תש"ח--21948, כי חדל מצב החירום</w:t>
                        </w:r>
                      </w:p>
                      <w:p w:rsid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להתקיים; וכל ההוראות של התקנות יחולו בהתאם לכך : ולממונה על מחוז ירושלים</w:t>
                        </w:r>
                      </w:p>
                      <w:p w:rsid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יהיו, לגבי הצו ולגבי המקרקעים שהצו חל עליהם, כל הסמכויות הנתונות לרשות</w:t>
                        </w:r>
                      </w:p>
                      <w:p w:rsidR="005F6E74" w:rsidRP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לפי התקנות.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5F6E74" w:rsidRDefault="005F6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  <w:p w:rsidR="005F6E74" w:rsidRPr="005F6E74" w:rsidRDefault="005F6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</w:t>
                        </w:r>
                      </w:p>
                    </w:tc>
                  </w:tr>
                  <w:tr w:rsidR="005F6E74" w:rsidRPr="005F6E74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5F6E74" w:rsidRPr="005F6E74" w:rsidRDefault="005F6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ז' בסיון תש"י (23 במאי 1950).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5F6E74" w:rsidRPr="005F6E74" w:rsidRDefault="005F6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5F6E74" w:rsidRDefault="005F6E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73" o:spid="_x0000_s1030" type="#_x0000_t202" style="position:absolute;left:0;text-align:left;margin-left:92.4pt;margin-top:140.55pt;width:378.4pt;height:46.95pt;z-index:1;mso-position-horizontal-relative:page;mso-position-vertical-relative:page" stroked="f">
            <v:textbox style="mso-next-textbox:#_x0000_s53373" inset="0,0,0,0">
              <w:txbxContent>
                <w:p w:rsidR="005F6E74" w:rsidRDefault="005F6E74">
                  <w:pPr>
                    <w:pStyle w:val="OCRStyle1"/>
                    <w:ind w:left="15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צווים לפי תקנות-שעת-חירום בדבר תפיסת מקרקעים</w:t>
                  </w:r>
                </w:p>
                <w:p w:rsidR="005F6E74" w:rsidRPr="005F6E74" w:rsidRDefault="005F6E74">
                  <w:pPr>
                    <w:pStyle w:val="OCRStyle1"/>
                    <w:ind w:left="105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(שיכון מוסדות המדינה בירושלים),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F6E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C2529C-5D97-4354-B1A3-7B638A20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6E7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