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1506D4" w:rsidRDefault="001506D4">
      <w:pPr>
        <w:rPr>
          <w:rtl/>
        </w:rPr>
      </w:pPr>
    </w:p>
    <w:p w:rsidR="001506D4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53419" o:spid="_x0000_s1025" type="#_x0000_t202" style="position:absolute;left:0;text-align:left;margin-left:50pt;margin-top:771.95pt;width:495.35pt;height:30pt;z-index:8;mso-position-horizontal-relative:page;mso-position-vertical-relative:page" stroked="f">
            <v:textbox style="mso-next-textbox:#_x0000_s53419" inset="0,0,0,0">
              <w:txbxContent>
                <w:p w:rsidR="001506D4" w:rsidRDefault="001506D4">
                  <w:r>
                    <w:rPr>
                      <w:rtl/>
                    </w:rPr>
                    <w:t>14                                           ספר החוקים 88                  כ"ז בכסליו התשי"ב 26.12.1951</w:t>
                  </w:r>
                </w:p>
              </w:txbxContent>
            </v:textbox>
            <w10:wrap anchorx="page" anchory="page"/>
          </v:shape>
        </w:pict>
      </w:r>
      <w:r>
        <w:pict>
          <v:shape id="_x0000_s53420" o:spid="_x0000_s1026" type="#_x0000_t202" style="position:absolute;left:0;text-align:left;margin-left:91.55pt;margin-top:757.8pt;width:186.5pt;height:19.6pt;z-index:7;mso-position-horizontal-relative:page;mso-position-vertical-relative:page" stroked="f">
            <v:textbox style="mso-next-textbox:#_x0000_s53420" inset="0,0,0,0">
              <w:txbxContent>
                <w:p w:rsidR="001506D4" w:rsidRDefault="001506D4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53421" o:spid="_x0000_s1027" type="#_x0000_t202" style="position:absolute;left:0;text-align:left;margin-left:83.65pt;margin-top:676.2pt;width:411.05pt;height:77.2pt;z-index:6;mso-position-horizontal-relative:page;mso-position-vertical-relative:page" stroked="f">
            <v:textbox style="mso-next-textbox:#_x0000_s53421" inset="0,0,0,0">
              <w:txbxContent>
                <w:p w:rsidR="001506D4" w:rsidRDefault="001506D4">
                  <w:pPr>
                    <w:pStyle w:val="OCRStyle1"/>
                    <w:ind w:left="482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י"ח בכסלו תשי"ב (17 בדצמבר 1951); הצעת החוק ודברי הסבר נתפרסמו</w:t>
                  </w:r>
                </w:p>
                <w:p w:rsidR="001506D4" w:rsidRDefault="001506D4">
                  <w:pPr>
                    <w:pStyle w:val="OCRStyle1"/>
                    <w:ind w:left="648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בהצעות חוק 91 מיום ו' בחשון תשי"ב (5.11.51), עמ' 11.</w:t>
                  </w:r>
                </w:p>
                <w:p w:rsidR="001506D4" w:rsidRDefault="001506D4">
                  <w:pPr>
                    <w:pStyle w:val="OCRStyle1"/>
                    <w:ind w:left="475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1 קובץ התקנות 163 מיום י"ח באדר בי תשי"א (26.8.51), עט' 772.</w:t>
                  </w:r>
                </w:p>
                <w:p w:rsidR="001506D4" w:rsidRDefault="001506D4">
                  <w:pPr>
                    <w:pStyle w:val="OCRStyle1"/>
                    <w:ind w:left="414"/>
                    <w:rPr>
                      <w:rtl/>
                    </w:rPr>
                  </w:pPr>
                  <w:r>
                    <w:rPr>
                      <w:rtl/>
                    </w:rPr>
                    <w:t>** נתקבל בכנסת ביום י"ח בכסלו תשי"ב (17 בדצמבר 1951): הצעת החוק ודברי הסבר נתפרסמו</w:t>
                  </w:r>
                </w:p>
                <w:p w:rsidR="001506D4" w:rsidRDefault="001506D4">
                  <w:pPr>
                    <w:pStyle w:val="OCRStyle1"/>
                    <w:ind w:left="641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בהצעות חוק 86 מיום י' באלול תשי"א (11.9.51), עמ' 272.</w:t>
                  </w:r>
                </w:p>
                <w:p w:rsidR="001506D4" w:rsidRPr="001506D4" w:rsidRDefault="001506D4">
                  <w:pPr>
                    <w:pStyle w:val="OCRStyle1"/>
                    <w:ind w:left="486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2 ספר החוקים 74 מיום י"ג בניסן תשי"א )19.4.51(, עט' 110.</w:t>
                  </w:r>
                </w:p>
              </w:txbxContent>
            </v:textbox>
            <w10:wrap anchorx="page" anchory="page"/>
          </v:shape>
        </w:pict>
      </w:r>
      <w:r>
        <w:pict>
          <v:shape id="_x0000_s53422" o:spid="_x0000_s1028" type="#_x0000_t202" style="position:absolute;left:0;text-align:left;margin-left:98.7pt;margin-top:596.25pt;width:95.85pt;height:27.5pt;z-index:5;mso-position-horizontal-relative:page;mso-position-vertical-relative:page" stroked="f">
            <v:textbox style="mso-next-textbox:#_x0000_s53422" inset="0,0,0,0">
              <w:txbxContent>
                <w:p w:rsidR="001506D4" w:rsidRDefault="001506D4">
                  <w:pPr>
                    <w:pStyle w:val="OCRStyle1"/>
                    <w:ind w:left="310"/>
                    <w:rPr>
                      <w:rtl/>
                    </w:rPr>
                  </w:pPr>
                  <w:r>
                    <w:rPr>
                      <w:rtl/>
                    </w:rPr>
                    <w:t>משה ש&amp;ירא</w:t>
                  </w:r>
                </w:p>
                <w:p w:rsidR="001506D4" w:rsidRDefault="001506D4">
                  <w:pPr>
                    <w:pStyle w:val="OCRStyle1"/>
                    <w:ind w:left="572"/>
                  </w:pPr>
                  <w:r>
                    <w:rPr>
                      <w:rtl/>
                    </w:rPr>
                    <w:t>שר הפנים</w:t>
                  </w:r>
                </w:p>
              </w:txbxContent>
            </v:textbox>
            <w10:wrap anchorx="page" anchory="page"/>
          </v:shape>
        </w:pict>
      </w:r>
      <w:r>
        <w:pict>
          <v:shape id="_x0000_s53423" o:spid="_x0000_s1029" type="#_x0000_t202" style="position:absolute;left:0;text-align:left;margin-left:249.55pt;margin-top:595.45pt;width:95.05pt;height:34.45pt;z-index:4;mso-position-horizontal-relative:page;mso-position-vertical-relative:page" stroked="f">
            <v:textbox style="mso-next-textbox:#_x0000_s53423" inset="0,0,0,0">
              <w:txbxContent>
                <w:p w:rsidR="001506D4" w:rsidRDefault="001506D4">
                  <w:pPr>
                    <w:pStyle w:val="OCRStyle1"/>
                    <w:ind w:left="112"/>
                    <w:rPr>
                      <w:rtl/>
                    </w:rPr>
                  </w:pPr>
                  <w:r>
                    <w:rPr>
                      <w:rtl/>
                    </w:rPr>
                    <w:t>דוד בן-גוריון</w:t>
                  </w:r>
                </w:p>
                <w:p w:rsidR="001506D4" w:rsidRDefault="001506D4">
                  <w:pPr>
                    <w:pStyle w:val="OCRStyle1"/>
                    <w:ind w:left="346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53424" o:spid="_x0000_s1030" type="#_x0000_t202" style="position:absolute;left:0;text-align:left;margin-left:366.75pt;margin-top:615.85pt;width:127.9pt;height:53.25pt;z-index:3;mso-position-horizontal-relative:page;mso-position-vertical-relative:page" stroked="f">
            <v:textbox style="mso-next-textbox:#_x0000_s53424" inset="0,0,0,0">
              <w:txbxContent>
                <w:p w:rsidR="001506D4" w:rsidRDefault="001506D4">
                  <w:pPr>
                    <w:pStyle w:val="OCRStyle1"/>
                    <w:ind w:left="292"/>
                    <w:rPr>
                      <w:rtl/>
                    </w:rPr>
                  </w:pPr>
                  <w:r>
                    <w:rPr>
                      <w:rtl/>
                    </w:rPr>
                    <w:t>יוסף שפרינצק</w:t>
                  </w:r>
                </w:p>
                <w:p w:rsidR="001506D4" w:rsidRDefault="001506D4">
                  <w:pPr>
                    <w:pStyle w:val="OCRStyle1"/>
                    <w:ind w:left="382"/>
                    <w:rPr>
                      <w:rtl/>
                    </w:rPr>
                  </w:pPr>
                  <w:r>
                    <w:rPr>
                      <w:rtl/>
                    </w:rPr>
                    <w:t>יושב ראש הכנסת</w:t>
                  </w:r>
                </w:p>
                <w:p w:rsidR="001506D4" w:rsidRDefault="001506D4">
                  <w:pPr>
                    <w:pStyle w:val="OCRStyle1"/>
                    <w:ind w:left="104"/>
                  </w:pPr>
                  <w:r>
                    <w:rPr>
                      <w:rtl/>
                    </w:rPr>
                    <w:t>ממלא מקום 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53425" o:spid="_x0000_s1031" type="#_x0000_t202" style="position:absolute;left:0;text-align:left;margin-left:85.2pt;margin-top:318.25pt;width:487.5pt;height:274.45pt;z-index:2;mso-position-horizontal-relative:page;mso-position-vertical-relative:page" stroked="f">
            <v:textbox style="mso-next-textbox:#_x0000_s53425" inset="0,0,0,0">
              <w:txbxContent>
                <w:tbl>
                  <w:tblPr>
                    <w:tblW w:w="4440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638"/>
                    <w:gridCol w:w="1225"/>
                  </w:tblGrid>
                  <w:tr w:rsidR="001506D4" w:rsidRPr="001506D4">
                    <w:trPr>
                      <w:jc w:val="right"/>
                    </w:trPr>
                    <w:tc>
                      <w:tcPr>
                        <w:tcW w:w="4309" w:type="pct"/>
                      </w:tcPr>
                      <w:p w:rsidR="001506D4" w:rsidRDefault="001506D4">
                        <w:pPr>
                          <w:pStyle w:val="OCRStyle1"/>
                          <w:rPr>
                            <w:sz w:val="26"/>
                            <w:szCs w:val="26"/>
                            <w:rtl/>
                          </w:rPr>
                        </w:pPr>
                        <w:r>
                          <w:rPr>
                            <w:sz w:val="26"/>
                            <w:szCs w:val="26"/>
                            <w:rtl/>
                          </w:rPr>
                          <w:t>1. חוק הבחירות לכנסת השניה, תשי"א-21951, יתוקן כך :</w:t>
                        </w:r>
                      </w:p>
                      <w:p w:rsidR="001506D4" w:rsidRDefault="001506D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סעיף 7 יסומן כסעיף 7 (א) ואחריו ייווסף סעיף קטן זה %</w:t>
                        </w:r>
                      </w:p>
                      <w:p w:rsidR="001506D4" w:rsidRDefault="001506D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,,(ב) (1) עובד שעבד אצל מעביד בשכר יומי לפחות ארבעה-עשר יום רצופים</w:t>
                        </w:r>
                      </w:p>
                      <w:p w:rsidR="001506D4" w:rsidRDefault="001506D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סמוך ליום הבחירות, ישלם לו המעביד את השכר שהעובד היה משתכר אצלו</w:t>
                        </w:r>
                      </w:p>
                      <w:p w:rsidR="001506D4" w:rsidRDefault="001506D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בשעות השבתון אלמלא שבת.</w:t>
                        </w:r>
                      </w:p>
                      <w:p w:rsidR="001506D4" w:rsidRDefault="001506D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שר העבודה, או מי שיתמנה על ידיו לכך, רשאי, לפי בקשת המעביד</w:t>
                        </w:r>
                      </w:p>
                      <w:p w:rsidR="001506D4" w:rsidRDefault="001506D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שתוגש לו בכתב תוך שלושים יום מיום הבחירות, להפחית את שיעור השכר</w:t>
                        </w:r>
                      </w:p>
                      <w:p w:rsidR="001506D4" w:rsidRDefault="001506D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שיש לשלם לפי פסקה (1), אם לדעתו מצבו החמרי של המעביד מצדיק זאת :</w:t>
                        </w:r>
                      </w:p>
                      <w:p w:rsidR="001506D4" w:rsidRPr="001506D4" w:rsidRDefault="001506D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החלטתו תהיה סופית ולא תשמש נושא לדיון לפני כל בית משפט שהוא.*</w:t>
                        </w:r>
                      </w:p>
                    </w:tc>
                    <w:tc>
                      <w:tcPr>
                        <w:tcW w:w="691" w:type="pct"/>
                      </w:tcPr>
                      <w:p w:rsidR="001506D4" w:rsidRPr="001506D4" w:rsidRDefault="001506D4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החוק</w:t>
                        </w:r>
                      </w:p>
                    </w:tc>
                  </w:tr>
                  <w:tr w:rsidR="001506D4" w:rsidRPr="001506D4">
                    <w:trPr>
                      <w:jc w:val="right"/>
                    </w:trPr>
                    <w:tc>
                      <w:tcPr>
                        <w:tcW w:w="4309" w:type="pct"/>
                      </w:tcPr>
                      <w:p w:rsidR="001506D4" w:rsidRDefault="001506D4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2. (א) מעביד שלפני ב' בכסלו תשי"ב (1 בדצמבר 1951) שילם לעובדו בעד יום</w:t>
                        </w:r>
                      </w:p>
                      <w:p w:rsidR="001506D4" w:rsidRDefault="001506D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השבתון לרגל הבחירות לכנסת השניה לפחות שני שלישים מהשכר האמור בסעיף 7 (ב) (1)</w:t>
                        </w:r>
                      </w:p>
                      <w:p w:rsidR="001506D4" w:rsidRDefault="001506D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לחוק הבחירות לכנסת השניה, תשי"א--1951, אינו חייב בתשלום נוסף על אף האמור</w:t>
                        </w:r>
                      </w:p>
                      <w:p w:rsidR="001506D4" w:rsidRDefault="001506D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באותו סעיף.</w:t>
                        </w:r>
                      </w:p>
                      <w:p w:rsidR="001506D4" w:rsidRDefault="001506D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לגבי יום הבחירות לכנסת השניה רשאי מעביד להגיש בקשה לפי סעיף 7 (ב) (2)</w:t>
                        </w:r>
                      </w:p>
                      <w:p w:rsidR="001506D4" w:rsidRPr="001506D4" w:rsidRDefault="001506D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לחוק הבחירות לכנסת השניה, תשי"א-1951, עד ה' בשבט תשי"ב (1 בפברואר 1952).</w:t>
                        </w:r>
                      </w:p>
                    </w:tc>
                    <w:tc>
                      <w:tcPr>
                        <w:tcW w:w="691" w:type="pct"/>
                      </w:tcPr>
                      <w:p w:rsidR="001506D4" w:rsidRPr="001506D4" w:rsidRDefault="001506D4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הוראות מעבר</w:t>
                        </w:r>
                      </w:p>
                    </w:tc>
                  </w:tr>
                  <w:tr w:rsidR="001506D4" w:rsidRPr="001506D4">
                    <w:trPr>
                      <w:jc w:val="right"/>
                    </w:trPr>
                    <w:tc>
                      <w:tcPr>
                        <w:tcW w:w="4309" w:type="pct"/>
                      </w:tcPr>
                      <w:p w:rsidR="001506D4" w:rsidRPr="001506D4" w:rsidRDefault="001506D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3. תקפו של חוק זה הוא מיום כ"ו בתמוז תשי"א (30 ביולי 1951).</w:t>
                        </w:r>
                      </w:p>
                    </w:tc>
                    <w:tc>
                      <w:tcPr>
                        <w:tcW w:w="691" w:type="pct"/>
                      </w:tcPr>
                      <w:p w:rsidR="001506D4" w:rsidRPr="001506D4" w:rsidRDefault="001506D4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תחילת תוקן*</w:t>
                        </w:r>
                      </w:p>
                    </w:tc>
                  </w:tr>
                </w:tbl>
                <w:p w:rsidR="001506D4" w:rsidRDefault="001506D4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53426" o:spid="_x0000_s1032" type="#_x0000_t202" style="position:absolute;left:0;text-align:left;margin-left:134.1pt;margin-top:286.35pt;width:317pt;height:23.95pt;z-index:1;mso-position-horizontal-relative:page;mso-position-vertical-relative:page" stroked="f">
            <v:textbox style="mso-next-textbox:#_x0000_s53426" inset="0,0,0,0">
              <w:txbxContent>
                <w:p w:rsidR="001506D4" w:rsidRPr="001506D4" w:rsidRDefault="001506D4">
                  <w:pPr>
                    <w:pStyle w:val="OCRStyle1"/>
                    <w:ind w:left="288"/>
                    <w:rPr>
                      <w:sz w:val="26"/>
                      <w:szCs w:val="26"/>
                    </w:rPr>
                  </w:pPr>
                  <w:r>
                    <w:rPr>
                      <w:sz w:val="26"/>
                      <w:szCs w:val="26"/>
                      <w:rtl/>
                    </w:rPr>
                    <w:t>חוק הבחירות לכנסת השניה (תיקון), תשי"ב- 1951**</w:t>
                  </w:r>
                </w:p>
              </w:txbxContent>
            </v:textbox>
            <w10:wrap anchorx="page" anchory="page"/>
          </v:shape>
        </w:pict>
      </w:r>
    </w:p>
    <w:p w:rsidR="00903F85" w:rsidRDefault="00903F85">
      <w:bookmarkStart w:id="0" w:name="_PictureBullets"/>
      <w:bookmarkEnd w:id="0"/>
    </w:p>
    <w:sectPr w:rsidR="00903F85" w:rsidSect="001506D4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1506D4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05C1C604-3C51-4966-BCC6-336912098A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1506D4"/>
    <w:rPr>
      <w:rFonts w:ascii="Arial" w:hAnsi="Arial" w:cs="Arial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10</Characters>
  <Application>Microsoft Office Word</Application>
  <DocSecurity>4</DocSecurity>
  <Lines>1</Lines>
  <Paragraphs>1</Paragraphs>
  <ScaleCrop>false</ScaleCrop>
  <Company/>
  <LinksUpToDate>false</LinksUpToDate>
  <CharactersWithSpaces>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imst</dc:creator>
  <cp:keywords/>
  <dc:description/>
  <cp:lastModifiedBy>imst</cp:lastModifiedBy>
  <cp:revision>2</cp:revision>
  <dcterms:created xsi:type="dcterms:W3CDTF">2008-04-06T18:00:00Z</dcterms:created>
  <dcterms:modified xsi:type="dcterms:W3CDTF">2008-04-06T18:00:00Z</dcterms:modified>
</cp:coreProperties>
</file>