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F44EC" w:rsidRDefault="003F44EC">
      <w:pPr>
        <w:rPr>
          <w:rtl/>
        </w:rPr>
      </w:pPr>
    </w:p>
    <w:p w:rsidR="003F44E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7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077" inset="0,0,0,0">
              <w:txbxContent>
                <w:p w:rsidR="00E6378B" w:rsidRDefault="00E6378B">
                  <w:r>
                    <w:rPr>
                      <w:rtl/>
                    </w:rPr>
                    <w:t>126                                          ספר החוקים 92                     ט' באדר התשי"ב 06.03.1952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8" o:spid="_x0000_s1026" type="#_x0000_t202" style="position:absolute;left:0;text-align:left;margin-left:67.75pt;margin-top:720.95pt;width:422.75pt;height:68.3pt;z-index:4;mso-position-horizontal-relative:page;mso-position-vertical-relative:page" stroked="f">
            <v:textbox style="mso-next-textbox:#_x0000_s1078" inset="0,0,0,0">
              <w:txbxContent>
                <w:p w:rsidR="00E6378B" w:rsidRDefault="00E6378B">
                  <w:pPr>
                    <w:pStyle w:val="OCRStyle1"/>
                    <w:ind w:left="64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כ''ט בשבט תשי"ב (25 בפברואר 1952); הצעת החוק ודברי הסבר נתפרסמו</w:t>
                  </w:r>
                </w:p>
                <w:p w:rsidR="00E6378B" w:rsidRPr="003F44EC" w:rsidRDefault="00E6378B">
                  <w:pPr>
                    <w:pStyle w:val="OCRStyle1"/>
                    <w:ind w:left="82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60 מטם ט"ז בטבת תשי"א (25.12.50), עמ' 62.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9" o:spid="_x0000_s1027" type="#_x0000_t202" style="position:absolute;left:0;text-align:left;margin-left:74.85pt;margin-top:110.9pt;width:493.8pt;height:606.45pt;z-index:3;mso-position-horizontal-relative:page;mso-position-vertical-relative:page" stroked="f">
            <v:textbox style="mso-next-textbox:#_x0000_s1079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82"/>
                    <w:gridCol w:w="1397"/>
                  </w:tblGrid>
                  <w:tr w:rsidR="00E6378B" w:rsidRPr="003F44EC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E6378B" w:rsidRDefault="00E6378B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(א) הלוקח שוחד בעד פעולה הקשורה בתפקיד שהוא ממלא מטעם המדינה, מטעם</w:t>
                        </w:r>
                      </w:p>
                      <w:p w:rsidR="00E6378B" w:rsidRDefault="00E63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מקומית או מטעם גוף או איגוד שפורש בתוספת לחוק זה, דינו - מאסר עד שלוש</w:t>
                        </w:r>
                      </w:p>
                      <w:p w:rsidR="00E6378B" w:rsidRDefault="00E63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או מאסר עד שלוש שנים עם קנס עד חמשת אלפים לירות.</w:t>
                        </w:r>
                      </w:p>
                      <w:p w:rsidR="00E6378B" w:rsidRDefault="00E63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נלקח השוחד בעד פעולה שממלא התפקיד היה חייב לעשותה על פי תפקידו</w:t>
                        </w:r>
                      </w:p>
                      <w:p w:rsidR="00E6378B" w:rsidRDefault="00E63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נלקח על מנת לסטות מן השורה במילוי תפקידו, דינו - מאסר עד ששה חדשים או</w:t>
                        </w:r>
                      </w:p>
                      <w:p w:rsidR="00E6378B" w:rsidRPr="003F44EC" w:rsidRDefault="00E63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עד חמש מאות לירות או שני העבשים כאחד.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E6378B" w:rsidRDefault="00E6378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לקיחת שוחד</w:t>
                        </w:r>
                      </w:p>
                      <w:p w:rsidR="00E6378B" w:rsidRDefault="00E6378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בתפקיד מטעם</w:t>
                        </w:r>
                      </w:p>
                      <w:p w:rsidR="00E6378B" w:rsidRPr="003F44EC" w:rsidRDefault="00E6378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המרינה וכו'</w:t>
                        </w:r>
                      </w:p>
                    </w:tc>
                  </w:tr>
                  <w:tr w:rsidR="00E6378B" w:rsidRPr="003F44EC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E6378B" w:rsidRDefault="00E6378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הלוקח שוחד בעד פעולה הקשורה בתפקידו כשופט או בורר או בתפקיד שיפוטי</w:t>
                        </w:r>
                      </w:p>
                      <w:p w:rsidR="00E6378B" w:rsidRDefault="00E63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אחר, דינו - מאסר עד חמש שנים או מאסר עד חמש שנים עם קנס עד עשרת אלפים</w:t>
                        </w:r>
                      </w:p>
                      <w:p w:rsidR="00E6378B" w:rsidRPr="003F44EC" w:rsidRDefault="00E63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E6378B" w:rsidRDefault="00E6378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לקיחת שוחד</w:t>
                        </w:r>
                      </w:p>
                      <w:p w:rsidR="00E6378B" w:rsidRPr="003F44EC" w:rsidRDefault="00E6378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בתפקיד שיפוטי</w:t>
                        </w:r>
                      </w:p>
                    </w:tc>
                  </w:tr>
                  <w:tr w:rsidR="00E6378B" w:rsidRPr="003F44EC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E6378B" w:rsidRDefault="00E6378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בותן השוחד דינו כדין לוקח השוחד, אלא שהעונש שהנותן צפוי לו הוא מחצית מן</w:t>
                        </w:r>
                      </w:p>
                      <w:p w:rsidR="00E6378B" w:rsidRPr="003F44EC" w:rsidRDefault="00E63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 האמור בסעיפים 1 ו-.2</w:t>
                        </w:r>
                      </w:p>
                    </w:tc>
                    <w:tc>
                      <w:tcPr>
                        <w:tcW w:w="778" w:type="pct"/>
                      </w:tcPr>
                      <w:p w:rsidR="00E6378B" w:rsidRPr="003F44EC" w:rsidRDefault="00E6378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מתן שוחד</w:t>
                        </w:r>
                      </w:p>
                    </w:tc>
                  </w:tr>
                  <w:tr w:rsidR="00E6378B" w:rsidRPr="003F44EC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E6378B" w:rsidRDefault="00E6378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אין נפקא מינה בשוחד -</w:t>
                        </w:r>
                      </w:p>
                      <w:p w:rsidR="00E6378B" w:rsidRDefault="00E63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אם היה כסף, שווה כסף, שירות או טובת הנאה אחרת :</w:t>
                        </w:r>
                      </w:p>
                      <w:p w:rsidR="00E6378B" w:rsidRDefault="00E63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אם היה בעד עשיה או בעד חדלה, השהייה, החשה, האטה, העדפה או הפלייה</w:t>
                        </w:r>
                      </w:p>
                      <w:p w:rsidR="00E6378B" w:rsidRDefault="00E63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לרעה :</w:t>
                        </w:r>
                      </w:p>
                      <w:p w:rsidR="00E6378B" w:rsidRDefault="00E63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אם היה בעד פעולה מסויימת או כדי להטות למשוא פנים בדרך כלל :</w:t>
                        </w:r>
                      </w:p>
                      <w:p w:rsidR="00E6378B" w:rsidRDefault="00E63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אם היה בעד פעולה של הלוקח עצמו או בעד השפעתו על פעולת אדם אחר :</w:t>
                        </w:r>
                      </w:p>
                      <w:p w:rsidR="00E6378B" w:rsidRDefault="00E63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אם ניתן מידי הנותן או באמצעות אדם אחר; אם ניתן לידי הלוקח או בשביל</w:t>
                        </w:r>
                      </w:p>
                      <w:p w:rsidR="00E6378B" w:rsidRDefault="00E63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הלוקח לידי אדם אחר : אם בתחילה או בדיעבד : ואם הנהנה מן השוחד היה הלוקח או</w:t>
                        </w:r>
                      </w:p>
                      <w:p w:rsidR="00E6378B" w:rsidRDefault="00E63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אחר :</w:t>
                        </w:r>
                      </w:p>
                      <w:p w:rsidR="00E6378B" w:rsidRDefault="00E63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אם תפקידו של הלוקח היה של שררה או של שירות : אם היה קבוע או זמני</w:t>
                        </w:r>
                      </w:p>
                      <w:p w:rsidR="00E6378B" w:rsidRDefault="00E63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כללי או לענין מסויים : אם מילויו היה בשכר או בלי שכר, אם בהתנדבות או תוך</w:t>
                        </w:r>
                      </w:p>
                      <w:p w:rsidR="00E6378B" w:rsidRPr="003F44EC" w:rsidRDefault="00E63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קיום חובה.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E6378B" w:rsidRPr="003F44EC" w:rsidRDefault="00E6378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דרכי שוחר</w:t>
                        </w:r>
                      </w:p>
                    </w:tc>
                  </w:tr>
                  <w:tr w:rsidR="00E6378B" w:rsidRPr="003F44EC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E6378B" w:rsidRDefault="00E6378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המבקש או המתנה שוחד, אף שלא נענה, כמוהו כלוקח שוחד.</w:t>
                        </w:r>
                      </w:p>
                      <w:p w:rsidR="00E6378B" w:rsidRDefault="00E63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המציע או המבטיח שוחד, אף שנדחה, כמוהו כנותן שוחד.</w:t>
                        </w:r>
                      </w:p>
                      <w:p w:rsidR="00E6378B" w:rsidRDefault="00E63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שמועמד לתפקיד אף שעדיין לא הוטל עליו, ומי שהוטל עליו תפקיד אף</w:t>
                        </w:r>
                      </w:p>
                      <w:p w:rsidR="00E6378B" w:rsidRDefault="00E63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שעדיין לא התחיל במילויו, כמוהו כממלא את התפקיד.</w:t>
                        </w:r>
                      </w:p>
                      <w:p w:rsidR="00E6378B" w:rsidRDefault="00E63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במשפט על שוחד לא ייזקק בית המשפט לטענה -</w:t>
                        </w:r>
                      </w:p>
                      <w:p w:rsidR="00E6378B" w:rsidRDefault="00E63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שהיה פגם או פסול בהטלת התפקיד על הלוקח, במינויו או בבחירתו :</w:t>
                        </w:r>
                      </w:p>
                      <w:p w:rsidR="00E6378B" w:rsidRDefault="00E63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שהלוקח לא עשה או אף לא התכוון או לא היה מוסמך או רשאי לעשות</w:t>
                        </w:r>
                      </w:p>
                      <w:p w:rsidR="00E6378B" w:rsidRPr="003F44EC" w:rsidRDefault="00E63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הפעולה.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E6378B" w:rsidRDefault="00E6378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</w:t>
                        </w:r>
                      </w:p>
                      <w:p w:rsidR="00E6378B" w:rsidRPr="003F44EC" w:rsidRDefault="00E6378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נוספות</w:t>
                        </w:r>
                      </w:p>
                    </w:tc>
                  </w:tr>
                </w:tbl>
                <w:p w:rsidR="00E6378B" w:rsidRDefault="00E6378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80" o:spid="_x0000_s1028" type="#_x0000_t202" style="position:absolute;left:0;text-align:left;margin-left:122pt;margin-top:85.15pt;width:351.65pt;height:23.95pt;z-index:2;mso-position-horizontal-relative:page;mso-position-vertical-relative:page" stroked="f">
            <v:textbox style="mso-next-textbox:#_x0000_s1080" inset="0,0,0,0">
              <w:txbxContent>
                <w:p w:rsidR="00E6378B" w:rsidRPr="003F44EC" w:rsidRDefault="00E6378B">
                  <w:pPr>
                    <w:pStyle w:val="OCRStyle1"/>
                    <w:ind w:left="61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דיני העונשין (עבירות שוחד), תשי"ב-1952*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1" o:spid="_x0000_s1029" type="#_x0000_t202" style="position:absolute;left:0;text-align:left;margin-left:496.6pt;margin-top:78.05pt;width:65.75pt;height:14.25pt;z-index:1;mso-position-horizontal-relative:page;mso-position-vertical-relative:page" stroked="f">
            <v:textbox style="mso-next-textbox:#_x0000_s1081" inset="0,0,0,0">
              <w:txbxContent>
                <w:p w:rsidR="00E6378B" w:rsidRDefault="00E6378B">
                  <w:pPr>
                    <w:pStyle w:val="OCRStyle1"/>
                    <w:ind w:left="119"/>
                  </w:pPr>
                  <w:r>
                    <w:rPr>
                      <w:rtl/>
                    </w:rPr>
                    <w:t>מספר 0*</w:t>
                  </w:r>
                </w:p>
              </w:txbxContent>
            </v:textbox>
            <w10:wrap anchorx="page" anchory="page"/>
          </v:shape>
        </w:pict>
      </w:r>
    </w:p>
    <w:p w:rsidR="00E6378B" w:rsidRDefault="00E6378B">
      <w:pPr>
        <w:rPr>
          <w:rtl/>
        </w:rPr>
      </w:pPr>
      <w:r>
        <w:rPr>
          <w:rtl/>
        </w:rPr>
        <w:br w:type="page"/>
      </w:r>
    </w:p>
    <w:p w:rsidR="00E6378B" w:rsidRDefault="00000000">
      <w:pPr>
        <w:rPr>
          <w:rtl/>
        </w:rPr>
      </w:pPr>
      <w:r>
        <w:pict>
          <v:shape id="_x0000_s1082" o:spid="_x0000_s1030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082" inset="0,0,0,0">
              <w:txbxContent>
                <w:p w:rsidR="00E6378B" w:rsidRDefault="00E6378B">
                  <w:r>
                    <w:rPr>
                      <w:rtl/>
                    </w:rPr>
                    <w:t>127                                          ספר החוקים 92                     ט' באדר התשי"ב 06.03.1952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3" o:spid="_x0000_s1031" type="#_x0000_t202" style="position:absolute;left:0;text-align:left;margin-left:351.05pt;margin-top:722.45pt;width:216.6pt;height:62.15pt;z-index:11;mso-position-horizontal-relative:page;mso-position-vertical-relative:page" stroked="f">
            <v:textbox style="mso-next-textbox:#_x0000_s1083" inset="0,0,0,0">
              <w:txbxContent>
                <w:p w:rsidR="00E6378B" w:rsidRPr="00E6378B" w:rsidRDefault="00E6378B">
                  <w:pPr>
                    <w:pStyle w:val="OCRStyle2"/>
                    <w:ind w:left="659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ע"ר מס' 652 מיום 14.12.36 תוס' 1, עמ' 268.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4" o:spid="_x0000_s1032" type="#_x0000_t202" style="position:absolute;left:0;text-align:left;margin-left:169.9pt;margin-top:527pt;width:85.35pt;height:33.85pt;z-index:10;mso-position-horizontal-relative:page;mso-position-vertical-relative:page" stroked="f">
            <v:textbox style="mso-next-textbox:#_x0000_s1084" inset="0,0,0,0">
              <w:txbxContent>
                <w:p w:rsidR="00E6378B" w:rsidRDefault="00E6378B">
                  <w:pPr>
                    <w:pStyle w:val="OCRStyle2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E6378B" w:rsidRDefault="00E6378B">
                  <w:pPr>
                    <w:pStyle w:val="OCRStyle2"/>
                    <w:ind w:left="331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5" o:spid="_x0000_s1033" type="#_x0000_t202" style="position:absolute;left:0;text-align:left;margin-left:280pt;margin-top:522.65pt;width:108.3pt;height:39pt;z-index:9;mso-position-horizontal-relative:page;mso-position-vertical-relative:page" stroked="f">
            <v:textbox style="mso-next-textbox:#_x0000_s1085" inset="0,0,0,0">
              <w:txbxContent>
                <w:p w:rsidR="00E6378B" w:rsidRDefault="00E6378B">
                  <w:pPr>
                    <w:pStyle w:val="OCRStyle2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E6378B" w:rsidRDefault="00E6378B">
                  <w:pPr>
                    <w:pStyle w:val="OCRStyle2"/>
                    <w:ind w:left="56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6" o:spid="_x0000_s1034" type="#_x0000_t202" style="position:absolute;left:0;text-align:left;margin-left:420.35pt;margin-top:549.2pt;width:136.6pt;height:68.5pt;z-index:8;mso-position-horizontal-relative:page;mso-position-vertical-relative:page" stroked="f">
            <v:textbox style="mso-next-textbox:#_x0000_s1086" inset="0,0,0,0">
              <w:txbxContent>
                <w:p w:rsidR="00E6378B" w:rsidRDefault="00E6378B">
                  <w:pPr>
                    <w:pStyle w:val="OCRStyle2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E6378B" w:rsidRDefault="00E6378B">
                  <w:pPr>
                    <w:pStyle w:val="OCRStyle2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E6378B" w:rsidRDefault="00E6378B">
                  <w:pPr>
                    <w:pStyle w:val="OCRStyle2"/>
                    <w:ind w:left="94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7" o:spid="_x0000_s1035" type="#_x0000_t202" style="position:absolute;left:0;text-align:left;margin-left:291.5pt;margin-top:370.8pt;width:162.55pt;height:135.05pt;z-index:7;mso-position-horizontal-relative:page;mso-position-vertical-relative:page" stroked="f">
            <v:textbox style="mso-next-textbox:#_x0000_s1087" inset="0,0,0,0">
              <w:txbxContent>
                <w:p w:rsidR="00E6378B" w:rsidRDefault="00E6378B">
                  <w:pPr>
                    <w:pStyle w:val="OCRStyle2"/>
                    <w:ind w:left="1480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</w:t>
                  </w:r>
                </w:p>
                <w:p w:rsidR="00E6378B" w:rsidRDefault="00E6378B">
                  <w:pPr>
                    <w:pStyle w:val="OCRStyle2"/>
                    <w:ind w:left="1307"/>
                    <w:rPr>
                      <w:rtl/>
                    </w:rPr>
                  </w:pPr>
                  <w:r>
                    <w:rPr>
                      <w:rtl/>
                    </w:rPr>
                    <w:t>סעיף 1 (א)</w:t>
                  </w:r>
                </w:p>
                <w:p w:rsidR="00E6378B" w:rsidRDefault="00E6378B">
                  <w:pPr>
                    <w:pStyle w:val="OCRStyle2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ההסתדרות הציונית</w:t>
                  </w:r>
                </w:p>
                <w:p w:rsidR="00E6378B" w:rsidRDefault="00E6378B">
                  <w:pPr>
                    <w:pStyle w:val="OCRStyle2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הסוכנות היהודית לא"י</w:t>
                  </w:r>
                </w:p>
                <w:p w:rsidR="00E6378B" w:rsidRDefault="00E6378B">
                  <w:pPr>
                    <w:pStyle w:val="OCRStyle2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הקרן הקיימת לישראל, בע"מ</w:t>
                  </w:r>
                </w:p>
                <w:p w:rsidR="00E6378B" w:rsidRDefault="00E6378B">
                  <w:pPr>
                    <w:pStyle w:val="OCRStyle2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קרן היסוד בע"מ</w:t>
                  </w:r>
                </w:p>
                <w:p w:rsidR="00E6378B" w:rsidRDefault="00E6378B">
                  <w:pPr>
                    <w:pStyle w:val="OCRStyle2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המועצות הדתיות</w:t>
                  </w:r>
                </w:p>
                <w:p w:rsidR="00E6378B" w:rsidRPr="00E6378B" w:rsidRDefault="00E6378B">
                  <w:pPr>
                    <w:pStyle w:val="OCRStyle2"/>
                    <w:ind w:left="500"/>
                  </w:pPr>
                  <w:r>
                    <w:rPr>
                      <w:rtl/>
                    </w:rPr>
                    <w:t>לשכות העבודה הכלליות.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8" o:spid="_x0000_s1036" type="#_x0000_t202" style="position:absolute;left:0;text-align:left;margin-left:90.9pt;margin-top:59.15pt;width:473.2pt;height:310.85pt;z-index:6;mso-position-horizontal-relative:page;mso-position-vertical-relative:page" stroked="f">
            <v:textbox style="mso-next-textbox:#_x0000_s108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1"/>
                    <w:gridCol w:w="7512"/>
                  </w:tblGrid>
                  <w:tr w:rsidR="00E6378B" w:rsidRPr="00E6378B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E6378B" w:rsidRPr="00E6378B" w:rsidRDefault="00E6378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חיוור בשוחד</w:t>
                        </w:r>
                      </w:p>
                    </w:tc>
                    <w:tc>
                      <w:tcPr>
                        <w:tcW w:w="4366" w:type="pct"/>
                      </w:tcPr>
                      <w:p w:rsidR="00E6378B" w:rsidRDefault="00E6378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המקבל כסף, שווה כסף, שירות או טובת הנאד. אחרת על מנת שיתן שוחד</w:t>
                        </w:r>
                      </w:p>
                      <w:p w:rsidR="00E6378B" w:rsidRDefault="00E637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לאדם הממלא תפקיד מן התפקידים המפורטים בסעיפים 1 ו-2' או על מנת שיניעו למשוא</w:t>
                        </w:r>
                      </w:p>
                      <w:p w:rsidR="00E6378B" w:rsidRDefault="00E637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פנים או להפלייה' דינו כאילו היה לוקח השוחד לפי אותם הסעיפים.</w:t>
                        </w:r>
                      </w:p>
                      <w:p w:rsidR="00E6378B" w:rsidRPr="00E6378B" w:rsidRDefault="00E637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הנותן דבר מן הדברים כאמור בסעיף קטן (א)' דינו כאילו היה נותן השוחד.</w:t>
                        </w:r>
                      </w:p>
                    </w:tc>
                  </w:tr>
                  <w:tr w:rsidR="00E6378B" w:rsidRPr="00E6378B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E6378B" w:rsidRPr="00E6378B" w:rsidRDefault="00E6378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ראיות</w:t>
                        </w:r>
                      </w:p>
                    </w:tc>
                    <w:tc>
                      <w:tcPr>
                        <w:tcW w:w="4366" w:type="pct"/>
                      </w:tcPr>
                      <w:p w:rsidR="00E6378B" w:rsidRDefault="00E6378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במשפט על עבירה לפי חוק זה רשאי בית המשפט להרשיע על יסוד עדות אחת'</w:t>
                        </w:r>
                      </w:p>
                      <w:p w:rsidR="00E6378B" w:rsidRPr="00E6378B" w:rsidRDefault="00E637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אם זו עדות של שותף לעבירה.</w:t>
                        </w:r>
                      </w:p>
                    </w:tc>
                  </w:tr>
                  <w:tr w:rsidR="00E6378B" w:rsidRPr="00E6378B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E6378B" w:rsidRPr="00E6378B" w:rsidRDefault="00E6378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החרמה וכו'</w:t>
                        </w:r>
                      </w:p>
                    </w:tc>
                    <w:tc>
                      <w:tcPr>
                        <w:tcW w:w="4366" w:type="pct"/>
                      </w:tcPr>
                      <w:p w:rsidR="00E6378B" w:rsidRDefault="00E6378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הורשע אדם על עבירה לפי חוק זה' רשאי בית המשפט, נוסף על העונש</w:t>
                        </w:r>
                      </w:p>
                      <w:p w:rsidR="00E6378B" w:rsidRDefault="00E637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שיטיל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E6378B" w:rsidRDefault="00E637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להחרים מה שניתן כשוחד ומה שבא במקומו :</w:t>
                        </w:r>
                      </w:p>
                      <w:p w:rsidR="00E6378B" w:rsidRDefault="00E637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לחייב את נותן השוחד לשלם לאוצר המדינה את שוויה של התועלת</w:t>
                        </w:r>
                      </w:p>
                      <w:p w:rsidR="00E6378B" w:rsidRDefault="00E637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שהפיק מן השוחד.</w:t>
                        </w:r>
                      </w:p>
                      <w:p w:rsidR="00E6378B" w:rsidRPr="00E6378B" w:rsidRDefault="00E637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זה אינו מוציא תביעה אזרחית.</w:t>
                        </w:r>
                      </w:p>
                    </w:tc>
                  </w:tr>
                  <w:tr w:rsidR="00E6378B" w:rsidRPr="00E6378B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E6378B" w:rsidRPr="00E6378B" w:rsidRDefault="00E6378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התוספת</w:t>
                        </w:r>
                      </w:p>
                    </w:tc>
                    <w:tc>
                      <w:tcPr>
                        <w:tcW w:w="4366" w:type="pct"/>
                      </w:tcPr>
                      <w:p w:rsidR="00E6378B" w:rsidRDefault="00E6378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שר המשפטים רשאי, באישור ועדת החוקה, חוק ומשפט של הכנסת, לשנות את</w:t>
                        </w:r>
                      </w:p>
                      <w:p w:rsidR="00E6378B" w:rsidRPr="00E6378B" w:rsidRDefault="00E637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התוספת לחוק זה בהוספת שמותיהם של גופים או של איגודים או, במחיקת שמות כאלה.</w:t>
                        </w:r>
                      </w:p>
                    </w:tc>
                  </w:tr>
                  <w:tr w:rsidR="00E6378B" w:rsidRPr="00E6378B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E6378B" w:rsidRPr="00E6378B" w:rsidRDefault="00E6378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  <w:tc>
                      <w:tcPr>
                        <w:tcW w:w="4366" w:type="pct"/>
                      </w:tcPr>
                      <w:p w:rsidR="00E6378B" w:rsidRPr="00E6378B" w:rsidRDefault="00E637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 .הסעיפים 106 עד 109אי לפקודת החוק הפלילי, 1936  1- בטלים.</w:t>
                        </w:r>
                      </w:p>
                    </w:tc>
                  </w:tr>
                </w:tbl>
                <w:p w:rsidR="00E6378B" w:rsidRDefault="00E6378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3F44E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44E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8852C0F-434F-46D9-B0C8-746AC9EBB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F44EC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E6378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2008-04-06T18:17:00Z</dcterms:created>
  <dcterms:modified xsi:type="dcterms:W3CDTF">2008-04-06T18:17:00Z</dcterms:modified>
</cp:coreProperties>
</file>